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4A8070" w14:textId="66CD7A76" w:rsidR="00B70040" w:rsidRDefault="00E14878" w:rsidP="001826B6">
      <w:pPr>
        <w:tabs>
          <w:tab w:val="left" w:pos="360"/>
        </w:tabs>
        <w:ind w:right="-360"/>
        <w:jc w:val="center"/>
        <w:rPr>
          <w:rFonts w:ascii="Times New Roman" w:hAnsi="Times New Roman" w:cs="Times New Roman"/>
          <w:b/>
          <w:bCs/>
          <w:sz w:val="28"/>
          <w:szCs w:val="28"/>
        </w:rPr>
      </w:pPr>
      <w:r>
        <w:rPr>
          <w:rFonts w:ascii="Times New Roman" w:hAnsi="Times New Roman" w:cs="Times New Roman"/>
          <w:b/>
          <w:bCs/>
          <w:sz w:val="28"/>
          <w:szCs w:val="28"/>
        </w:rPr>
        <w:t xml:space="preserve">Formal </w:t>
      </w:r>
      <w:r w:rsidR="00F34817">
        <w:rPr>
          <w:rFonts w:ascii="Times New Roman" w:hAnsi="Times New Roman" w:cs="Times New Roman"/>
          <w:b/>
          <w:bCs/>
          <w:sz w:val="28"/>
          <w:szCs w:val="28"/>
        </w:rPr>
        <w:t xml:space="preserve">Scoping </w:t>
      </w:r>
      <w:r>
        <w:rPr>
          <w:rFonts w:ascii="Times New Roman" w:hAnsi="Times New Roman" w:cs="Times New Roman"/>
          <w:b/>
          <w:bCs/>
          <w:sz w:val="28"/>
          <w:szCs w:val="28"/>
        </w:rPr>
        <w:t>Comment to the National Nuclear Security Administration on the Los Alamos Lab Site-Wide Environmental Impact Statement</w:t>
      </w:r>
    </w:p>
    <w:p w14:paraId="6DF48979" w14:textId="6EC292F0" w:rsidR="003330EF" w:rsidRDefault="003330EF" w:rsidP="001826B6">
      <w:pPr>
        <w:tabs>
          <w:tab w:val="left" w:pos="360"/>
        </w:tabs>
        <w:ind w:right="-360"/>
        <w:rPr>
          <w:rFonts w:ascii="Times New Roman" w:hAnsi="Times New Roman" w:cs="Times New Roman"/>
        </w:rPr>
      </w:pPr>
    </w:p>
    <w:p w14:paraId="695D48E0" w14:textId="28E76B4F" w:rsidR="001826B6" w:rsidRPr="001826B6" w:rsidRDefault="001826B6" w:rsidP="001826B6">
      <w:pPr>
        <w:tabs>
          <w:tab w:val="left" w:pos="360"/>
        </w:tabs>
        <w:ind w:right="-360"/>
        <w:jc w:val="right"/>
        <w:rPr>
          <w:rFonts w:ascii="Times New Roman" w:hAnsi="Times New Roman" w:cs="Times New Roman"/>
        </w:rPr>
      </w:pPr>
      <w:r w:rsidRPr="001826B6">
        <w:rPr>
          <w:rFonts w:ascii="Times New Roman" w:hAnsi="Times New Roman" w:cs="Times New Roman"/>
        </w:rPr>
        <w:t xml:space="preserve">October </w:t>
      </w:r>
      <w:proofErr w:type="spellStart"/>
      <w:r w:rsidRPr="001826B6">
        <w:rPr>
          <w:rFonts w:ascii="Times New Roman" w:hAnsi="Times New Roman" w:cs="Times New Roman"/>
        </w:rPr>
        <w:t>xxxx</w:t>
      </w:r>
      <w:proofErr w:type="spellEnd"/>
      <w:r w:rsidRPr="001826B6">
        <w:rPr>
          <w:rFonts w:ascii="Times New Roman" w:hAnsi="Times New Roman" w:cs="Times New Roman"/>
        </w:rPr>
        <w:t>, 2022</w:t>
      </w:r>
    </w:p>
    <w:p w14:paraId="3158BE36" w14:textId="77777777" w:rsidR="001826B6" w:rsidRDefault="001826B6" w:rsidP="001826B6">
      <w:pPr>
        <w:tabs>
          <w:tab w:val="left" w:pos="360"/>
        </w:tabs>
        <w:ind w:right="-360"/>
        <w:rPr>
          <w:rFonts w:ascii="Times New Roman" w:hAnsi="Times New Roman" w:cs="Times New Roman"/>
          <w:i/>
          <w:iCs/>
        </w:rPr>
      </w:pPr>
    </w:p>
    <w:p w14:paraId="398C0463" w14:textId="3AC1A160" w:rsidR="00E14878" w:rsidRPr="00E14878" w:rsidRDefault="00E14878" w:rsidP="001826B6">
      <w:pPr>
        <w:tabs>
          <w:tab w:val="left" w:pos="360"/>
        </w:tabs>
        <w:ind w:right="-360"/>
        <w:rPr>
          <w:rFonts w:ascii="Times New Roman" w:hAnsi="Times New Roman" w:cs="Times New Roman"/>
          <w:i/>
          <w:iCs/>
        </w:rPr>
      </w:pPr>
      <w:r w:rsidRPr="00E14878">
        <w:rPr>
          <w:rFonts w:ascii="Times New Roman" w:hAnsi="Times New Roman" w:cs="Times New Roman"/>
          <w:i/>
          <w:iCs/>
        </w:rPr>
        <w:t>Via LANLSWEIS@nnsa.doe.gov</w:t>
      </w:r>
    </w:p>
    <w:p w14:paraId="1A67E3E4" w14:textId="77777777" w:rsidR="00E14878" w:rsidRPr="00D50DC2" w:rsidRDefault="00E14878" w:rsidP="001826B6">
      <w:pPr>
        <w:tabs>
          <w:tab w:val="left" w:pos="360"/>
        </w:tabs>
        <w:ind w:right="-360"/>
        <w:rPr>
          <w:rFonts w:ascii="Times New Roman" w:hAnsi="Times New Roman" w:cs="Times New Roman"/>
        </w:rPr>
      </w:pPr>
    </w:p>
    <w:p w14:paraId="6E7FBBCB" w14:textId="3DF63031" w:rsidR="00F34817" w:rsidRDefault="00F34817" w:rsidP="001826B6">
      <w:pPr>
        <w:tabs>
          <w:tab w:val="left" w:pos="360"/>
        </w:tabs>
        <w:ind w:right="-360"/>
        <w:rPr>
          <w:rFonts w:ascii="Times New Roman" w:hAnsi="Times New Roman" w:cs="Times New Roman"/>
        </w:rPr>
      </w:pPr>
      <w:r>
        <w:rPr>
          <w:rFonts w:ascii="Times New Roman" w:hAnsi="Times New Roman" w:cs="Times New Roman"/>
        </w:rPr>
        <w:t>Dear National Nuclear Security Administration:</w:t>
      </w:r>
    </w:p>
    <w:p w14:paraId="7E32450A" w14:textId="77777777" w:rsidR="00F34817" w:rsidRDefault="00F34817" w:rsidP="001826B6">
      <w:pPr>
        <w:tabs>
          <w:tab w:val="left" w:pos="360"/>
        </w:tabs>
        <w:ind w:right="-360"/>
        <w:rPr>
          <w:rFonts w:ascii="Times New Roman" w:hAnsi="Times New Roman" w:cs="Times New Roman"/>
        </w:rPr>
      </w:pPr>
    </w:p>
    <w:p w14:paraId="45608025" w14:textId="2AE6D98F" w:rsidR="00F34817" w:rsidRDefault="00FB13A2" w:rsidP="001826B6">
      <w:pPr>
        <w:tabs>
          <w:tab w:val="left" w:pos="360"/>
        </w:tabs>
        <w:ind w:right="-360"/>
        <w:rPr>
          <w:rFonts w:ascii="Times New Roman" w:hAnsi="Times New Roman" w:cs="Times New Roman"/>
        </w:rPr>
      </w:pPr>
      <w:r>
        <w:rPr>
          <w:rFonts w:ascii="Times New Roman" w:hAnsi="Times New Roman" w:cs="Times New Roman"/>
        </w:rPr>
        <w:t>Pursuant to</w:t>
      </w:r>
      <w:r w:rsidR="00CB6880">
        <w:rPr>
          <w:rFonts w:ascii="Times New Roman" w:hAnsi="Times New Roman" w:cs="Times New Roman"/>
        </w:rPr>
        <w:t xml:space="preserve"> National Environmental Policy Act (NEPA) requirements, t</w:t>
      </w:r>
      <w:r w:rsidR="00F34817">
        <w:rPr>
          <w:rFonts w:ascii="Times New Roman" w:hAnsi="Times New Roman" w:cs="Times New Roman"/>
        </w:rPr>
        <w:t xml:space="preserve">he following issues should be analyzed and considered </w:t>
      </w:r>
      <w:r w:rsidR="007D2A4C">
        <w:rPr>
          <w:rFonts w:ascii="Times New Roman" w:hAnsi="Times New Roman" w:cs="Times New Roman"/>
        </w:rPr>
        <w:t>with</w:t>
      </w:r>
      <w:r w:rsidR="00F34817">
        <w:rPr>
          <w:rFonts w:ascii="Times New Roman" w:hAnsi="Times New Roman" w:cs="Times New Roman"/>
        </w:rPr>
        <w:t xml:space="preserve">in the </w:t>
      </w:r>
      <w:r w:rsidR="007D2A4C">
        <w:rPr>
          <w:rFonts w:ascii="Times New Roman" w:hAnsi="Times New Roman" w:cs="Times New Roman"/>
        </w:rPr>
        <w:t xml:space="preserve">scope of the </w:t>
      </w:r>
      <w:r w:rsidR="00F34817">
        <w:rPr>
          <w:rFonts w:ascii="Times New Roman" w:hAnsi="Times New Roman" w:cs="Times New Roman"/>
        </w:rPr>
        <w:t>new Site-Wide Environmental Impact Statement for Continued Operations of the Los Alamos National Laboratory</w:t>
      </w:r>
      <w:r>
        <w:rPr>
          <w:rFonts w:ascii="Times New Roman" w:hAnsi="Times New Roman" w:cs="Times New Roman"/>
        </w:rPr>
        <w:t>.</w:t>
      </w:r>
    </w:p>
    <w:p w14:paraId="4C96E1C5" w14:textId="77777777" w:rsidR="00F34817" w:rsidRDefault="00F34817" w:rsidP="001826B6">
      <w:pPr>
        <w:tabs>
          <w:tab w:val="left" w:pos="360"/>
        </w:tabs>
        <w:ind w:right="-360"/>
        <w:rPr>
          <w:rFonts w:ascii="Times New Roman" w:hAnsi="Times New Roman" w:cs="Times New Roman"/>
        </w:rPr>
      </w:pPr>
    </w:p>
    <w:p w14:paraId="6827ED2B" w14:textId="77777777" w:rsidR="00FB13A2" w:rsidRDefault="00D50DC2" w:rsidP="001826B6">
      <w:pPr>
        <w:tabs>
          <w:tab w:val="left" w:pos="360"/>
        </w:tabs>
        <w:ind w:right="-360"/>
        <w:rPr>
          <w:rFonts w:ascii="Times New Roman" w:hAnsi="Times New Roman" w:cs="Times New Roman"/>
        </w:rPr>
      </w:pPr>
      <w:r w:rsidRPr="00D50DC2">
        <w:rPr>
          <w:rFonts w:ascii="Times New Roman" w:hAnsi="Times New Roman" w:cs="Times New Roman"/>
        </w:rPr>
        <w:t>The last</w:t>
      </w:r>
      <w:r w:rsidR="007D2A4C">
        <w:rPr>
          <w:rFonts w:ascii="Times New Roman" w:hAnsi="Times New Roman" w:cs="Times New Roman"/>
        </w:rPr>
        <w:t xml:space="preserve"> </w:t>
      </w:r>
      <w:r w:rsidR="00FB13A2">
        <w:rPr>
          <w:rFonts w:ascii="Times New Roman" w:hAnsi="Times New Roman" w:cs="Times New Roman"/>
        </w:rPr>
        <w:t>Los Alamos National Laboratory (LANL)</w:t>
      </w:r>
      <w:r w:rsidR="007D2A4C">
        <w:rPr>
          <w:rFonts w:ascii="Times New Roman" w:hAnsi="Times New Roman" w:cs="Times New Roman"/>
        </w:rPr>
        <w:t xml:space="preserve"> </w:t>
      </w:r>
      <w:r w:rsidR="00FB13A2">
        <w:rPr>
          <w:rFonts w:ascii="Times New Roman" w:hAnsi="Times New Roman" w:cs="Times New Roman"/>
        </w:rPr>
        <w:t>Site-Wide Environmental Impact Statement (SWEIS)</w:t>
      </w:r>
      <w:r w:rsidR="007D2A4C">
        <w:rPr>
          <w:rFonts w:ascii="Times New Roman" w:hAnsi="Times New Roman" w:cs="Times New Roman"/>
        </w:rPr>
        <w:t xml:space="preserve"> </w:t>
      </w:r>
      <w:r w:rsidRPr="00D50DC2">
        <w:rPr>
          <w:rFonts w:ascii="Times New Roman" w:hAnsi="Times New Roman" w:cs="Times New Roman"/>
        </w:rPr>
        <w:t xml:space="preserve">was </w:t>
      </w:r>
      <w:r w:rsidR="00AE3296">
        <w:rPr>
          <w:rFonts w:ascii="Times New Roman" w:hAnsi="Times New Roman" w:cs="Times New Roman"/>
        </w:rPr>
        <w:t>completed</w:t>
      </w:r>
      <w:r w:rsidRPr="00D50DC2">
        <w:rPr>
          <w:rFonts w:ascii="Times New Roman" w:hAnsi="Times New Roman" w:cs="Times New Roman"/>
        </w:rPr>
        <w:t xml:space="preserve"> in 2008</w:t>
      </w:r>
      <w:r w:rsidR="00AE3296">
        <w:rPr>
          <w:rFonts w:ascii="Times New Roman" w:hAnsi="Times New Roman" w:cs="Times New Roman"/>
        </w:rPr>
        <w:t xml:space="preserve"> and</w:t>
      </w:r>
      <w:r w:rsidRPr="00D50DC2">
        <w:rPr>
          <w:rFonts w:ascii="Times New Roman" w:hAnsi="Times New Roman" w:cs="Times New Roman"/>
        </w:rPr>
        <w:t xml:space="preserve"> is badly outdated</w:t>
      </w:r>
      <w:r w:rsidR="00AE3296">
        <w:rPr>
          <w:rFonts w:ascii="Times New Roman" w:hAnsi="Times New Roman" w:cs="Times New Roman"/>
        </w:rPr>
        <w:t>.</w:t>
      </w:r>
      <w:r>
        <w:rPr>
          <w:rFonts w:ascii="Times New Roman" w:hAnsi="Times New Roman" w:cs="Times New Roman"/>
        </w:rPr>
        <w:t xml:space="preserve"> </w:t>
      </w:r>
      <w:r w:rsidR="00C4193D">
        <w:rPr>
          <w:rFonts w:ascii="Times New Roman" w:hAnsi="Times New Roman" w:cs="Times New Roman"/>
        </w:rPr>
        <w:t>S</w:t>
      </w:r>
      <w:r w:rsidR="00F74239">
        <w:rPr>
          <w:rFonts w:ascii="Times New Roman" w:hAnsi="Times New Roman" w:cs="Times New Roman"/>
        </w:rPr>
        <w:t>ince 2018</w:t>
      </w:r>
      <w:r w:rsidR="003D3C25">
        <w:rPr>
          <w:rFonts w:ascii="Times New Roman" w:hAnsi="Times New Roman" w:cs="Times New Roman"/>
        </w:rPr>
        <w:t xml:space="preserve"> </w:t>
      </w:r>
      <w:r>
        <w:rPr>
          <w:rFonts w:ascii="Times New Roman" w:hAnsi="Times New Roman" w:cs="Times New Roman"/>
        </w:rPr>
        <w:t>the National Nuclear Security Administration (NNSA)</w:t>
      </w:r>
      <w:r w:rsidR="009C36F4">
        <w:rPr>
          <w:rFonts w:ascii="Times New Roman" w:hAnsi="Times New Roman" w:cs="Times New Roman"/>
        </w:rPr>
        <w:t xml:space="preserve">, </w:t>
      </w:r>
      <w:r w:rsidR="004723AB">
        <w:rPr>
          <w:rFonts w:ascii="Times New Roman" w:hAnsi="Times New Roman" w:cs="Times New Roman"/>
        </w:rPr>
        <w:t>the Department of Energy</w:t>
      </w:r>
      <w:r w:rsidR="009C36F4">
        <w:rPr>
          <w:rFonts w:ascii="Times New Roman" w:hAnsi="Times New Roman" w:cs="Times New Roman"/>
        </w:rPr>
        <w:t>’s semi-autonomous nuclear weapons agency, has been aggressively expanding the production of plutonium “pit” bomb cores for nuclear weapons at the Lab</w:t>
      </w:r>
      <w:r w:rsidRPr="00D50DC2">
        <w:rPr>
          <w:rFonts w:ascii="Times New Roman" w:hAnsi="Times New Roman" w:cs="Times New Roman"/>
        </w:rPr>
        <w:t>.</w:t>
      </w:r>
      <w:r w:rsidR="00C4193D">
        <w:rPr>
          <w:rFonts w:ascii="Times New Roman" w:hAnsi="Times New Roman" w:cs="Times New Roman"/>
        </w:rPr>
        <w:t xml:space="preserve"> </w:t>
      </w:r>
    </w:p>
    <w:p w14:paraId="63ABA7FE" w14:textId="77777777" w:rsidR="00FB13A2" w:rsidRDefault="00FB13A2" w:rsidP="001826B6">
      <w:pPr>
        <w:tabs>
          <w:tab w:val="left" w:pos="360"/>
        </w:tabs>
        <w:ind w:right="-360"/>
        <w:rPr>
          <w:rFonts w:ascii="Times New Roman" w:hAnsi="Times New Roman" w:cs="Times New Roman"/>
        </w:rPr>
      </w:pPr>
    </w:p>
    <w:p w14:paraId="232E327D" w14:textId="16E4CF60" w:rsidR="00B70040" w:rsidRDefault="003D3C25" w:rsidP="001826B6">
      <w:pPr>
        <w:tabs>
          <w:tab w:val="left" w:pos="360"/>
        </w:tabs>
        <w:ind w:right="-360"/>
        <w:rPr>
          <w:rFonts w:ascii="Times New Roman" w:hAnsi="Times New Roman" w:cs="Times New Roman"/>
        </w:rPr>
      </w:pPr>
      <w:r>
        <w:rPr>
          <w:rFonts w:ascii="Times New Roman" w:hAnsi="Times New Roman" w:cs="Times New Roman"/>
        </w:rPr>
        <w:t>On August 19, 2022,</w:t>
      </w:r>
      <w:r w:rsidR="009C36F4">
        <w:rPr>
          <w:rFonts w:ascii="Times New Roman" w:hAnsi="Times New Roman" w:cs="Times New Roman"/>
        </w:rPr>
        <w:t xml:space="preserve"> NNSA </w:t>
      </w:r>
      <w:r>
        <w:rPr>
          <w:rFonts w:ascii="Times New Roman" w:hAnsi="Times New Roman" w:cs="Times New Roman"/>
        </w:rPr>
        <w:t xml:space="preserve">finally </w:t>
      </w:r>
      <w:r w:rsidR="009C36F4">
        <w:rPr>
          <w:rFonts w:ascii="Times New Roman" w:hAnsi="Times New Roman" w:cs="Times New Roman"/>
        </w:rPr>
        <w:t>announced its intent to prepare a new LANL SWEIS, but apparently the agency will not address expanded plutonium pit production.</w:t>
      </w:r>
      <w:r w:rsidR="00835A9D">
        <w:rPr>
          <w:rStyle w:val="FootnoteReference"/>
          <w:rFonts w:ascii="Times New Roman" w:hAnsi="Times New Roman" w:cs="Times New Roman"/>
        </w:rPr>
        <w:footnoteReference w:id="1"/>
      </w:r>
      <w:r w:rsidR="009C36F4">
        <w:rPr>
          <w:rFonts w:ascii="Times New Roman" w:hAnsi="Times New Roman" w:cs="Times New Roman"/>
        </w:rPr>
        <w:t xml:space="preserve"> </w:t>
      </w:r>
      <w:r w:rsidR="00D56868">
        <w:rPr>
          <w:rFonts w:ascii="Times New Roman" w:hAnsi="Times New Roman" w:cs="Times New Roman"/>
        </w:rPr>
        <w:t>NNSA’</w:t>
      </w:r>
      <w:r>
        <w:rPr>
          <w:rFonts w:ascii="Times New Roman" w:hAnsi="Times New Roman" w:cs="Times New Roman"/>
        </w:rPr>
        <w:t>s</w:t>
      </w:r>
      <w:r w:rsidR="009C36F4">
        <w:rPr>
          <w:rFonts w:ascii="Times New Roman" w:hAnsi="Times New Roman" w:cs="Times New Roman"/>
        </w:rPr>
        <w:t xml:space="preserve"> </w:t>
      </w:r>
      <w:r w:rsidR="00FB13A2">
        <w:rPr>
          <w:rFonts w:ascii="Times New Roman" w:hAnsi="Times New Roman" w:cs="Times New Roman"/>
        </w:rPr>
        <w:t xml:space="preserve">legally </w:t>
      </w:r>
      <w:r w:rsidR="009C36F4">
        <w:rPr>
          <w:rFonts w:ascii="Times New Roman" w:hAnsi="Times New Roman" w:cs="Times New Roman"/>
        </w:rPr>
        <w:t xml:space="preserve">dubious </w:t>
      </w:r>
      <w:r w:rsidR="00FB13A2">
        <w:rPr>
          <w:rFonts w:ascii="Times New Roman" w:hAnsi="Times New Roman" w:cs="Times New Roman"/>
        </w:rPr>
        <w:t>claim</w:t>
      </w:r>
      <w:r w:rsidR="009C36F4">
        <w:rPr>
          <w:rFonts w:ascii="Times New Roman" w:hAnsi="Times New Roman" w:cs="Times New Roman"/>
        </w:rPr>
        <w:t xml:space="preserve"> is that it performed the required NEPA analysis </w:t>
      </w:r>
      <w:r w:rsidR="00F74239">
        <w:rPr>
          <w:rFonts w:ascii="Times New Roman" w:hAnsi="Times New Roman" w:cs="Times New Roman"/>
        </w:rPr>
        <w:t xml:space="preserve">for expanded plutonium pit production </w:t>
      </w:r>
      <w:r w:rsidR="009C36F4">
        <w:rPr>
          <w:rFonts w:ascii="Times New Roman" w:hAnsi="Times New Roman" w:cs="Times New Roman"/>
        </w:rPr>
        <w:t xml:space="preserve">in </w:t>
      </w:r>
      <w:r w:rsidR="00F74239">
        <w:rPr>
          <w:rFonts w:ascii="Times New Roman" w:hAnsi="Times New Roman" w:cs="Times New Roman"/>
        </w:rPr>
        <w:t>a</w:t>
      </w:r>
      <w:r w:rsidR="009C36F4">
        <w:rPr>
          <w:rFonts w:ascii="Times New Roman" w:hAnsi="Times New Roman" w:cs="Times New Roman"/>
        </w:rPr>
        <w:t xml:space="preserve"> 2008 </w:t>
      </w:r>
      <w:r w:rsidR="001C207F">
        <w:rPr>
          <w:rFonts w:ascii="Times New Roman" w:hAnsi="Times New Roman" w:cs="Times New Roman"/>
        </w:rPr>
        <w:t xml:space="preserve">Complex Transformation Programmatic Environmental Impact Statement, the 2008 </w:t>
      </w:r>
      <w:r w:rsidR="009C36F4">
        <w:rPr>
          <w:rFonts w:ascii="Times New Roman" w:hAnsi="Times New Roman" w:cs="Times New Roman"/>
        </w:rPr>
        <w:t xml:space="preserve">LANL SWEIS and a </w:t>
      </w:r>
      <w:r w:rsidR="00625C8B">
        <w:rPr>
          <w:rFonts w:ascii="Times New Roman" w:hAnsi="Times New Roman" w:cs="Times New Roman"/>
        </w:rPr>
        <w:t xml:space="preserve">woefully inadequate </w:t>
      </w:r>
      <w:r w:rsidR="009C36F4">
        <w:rPr>
          <w:rFonts w:ascii="Times New Roman" w:hAnsi="Times New Roman" w:cs="Times New Roman"/>
        </w:rPr>
        <w:t xml:space="preserve">“Supplement Analysis” </w:t>
      </w:r>
      <w:r w:rsidR="00272325">
        <w:rPr>
          <w:rFonts w:ascii="Times New Roman" w:hAnsi="Times New Roman" w:cs="Times New Roman"/>
        </w:rPr>
        <w:t xml:space="preserve">of the 2008 SWEIS </w:t>
      </w:r>
      <w:r w:rsidR="004723AB">
        <w:rPr>
          <w:rFonts w:ascii="Times New Roman" w:hAnsi="Times New Roman" w:cs="Times New Roman"/>
        </w:rPr>
        <w:t xml:space="preserve">completed </w:t>
      </w:r>
      <w:r w:rsidR="009C36F4">
        <w:rPr>
          <w:rFonts w:ascii="Times New Roman" w:hAnsi="Times New Roman" w:cs="Times New Roman"/>
        </w:rPr>
        <w:t>in 2020</w:t>
      </w:r>
      <w:r w:rsidR="004723AB">
        <w:rPr>
          <w:rFonts w:ascii="Times New Roman" w:hAnsi="Times New Roman" w:cs="Times New Roman"/>
        </w:rPr>
        <w:t>. This last document</w:t>
      </w:r>
      <w:r w:rsidR="00D56868">
        <w:rPr>
          <w:rFonts w:ascii="Times New Roman" w:hAnsi="Times New Roman" w:cs="Times New Roman"/>
        </w:rPr>
        <w:t xml:space="preserve"> concluded </w:t>
      </w:r>
      <w:r w:rsidR="000A5332">
        <w:rPr>
          <w:rFonts w:ascii="Times New Roman" w:hAnsi="Times New Roman" w:cs="Times New Roman"/>
        </w:rPr>
        <w:t xml:space="preserve">that </w:t>
      </w:r>
      <w:r w:rsidR="00D56868">
        <w:rPr>
          <w:rFonts w:ascii="Times New Roman" w:hAnsi="Times New Roman" w:cs="Times New Roman"/>
        </w:rPr>
        <w:t xml:space="preserve">a new </w:t>
      </w:r>
      <w:r w:rsidR="004723AB">
        <w:rPr>
          <w:rFonts w:ascii="Times New Roman" w:hAnsi="Times New Roman" w:cs="Times New Roman"/>
        </w:rPr>
        <w:t>SWEIS</w:t>
      </w:r>
      <w:r w:rsidR="00D56868">
        <w:rPr>
          <w:rFonts w:ascii="Times New Roman" w:hAnsi="Times New Roman" w:cs="Times New Roman"/>
        </w:rPr>
        <w:t xml:space="preserve"> was not needed</w:t>
      </w:r>
      <w:r w:rsidR="0085764D">
        <w:rPr>
          <w:rFonts w:ascii="Times New Roman" w:hAnsi="Times New Roman" w:cs="Times New Roman"/>
        </w:rPr>
        <w:t>, after which NNSA issued an Amended Record of Decision expanding plutonium pit production at LANL to at least 30 pits per year.</w:t>
      </w:r>
      <w:r w:rsidR="00E56419">
        <w:rPr>
          <w:rStyle w:val="FootnoteReference"/>
          <w:rFonts w:ascii="Times New Roman" w:hAnsi="Times New Roman" w:cs="Times New Roman"/>
        </w:rPr>
        <w:footnoteReference w:id="2"/>
      </w:r>
      <w:r w:rsidR="0085764D">
        <w:rPr>
          <w:rFonts w:ascii="Times New Roman" w:hAnsi="Times New Roman" w:cs="Times New Roman"/>
        </w:rPr>
        <w:t xml:space="preserve"> </w:t>
      </w:r>
    </w:p>
    <w:p w14:paraId="119B7BE5" w14:textId="0A7F9E93" w:rsidR="00880AE8" w:rsidRDefault="00880AE8" w:rsidP="001826B6">
      <w:pPr>
        <w:tabs>
          <w:tab w:val="left" w:pos="360"/>
        </w:tabs>
        <w:ind w:right="-360"/>
        <w:rPr>
          <w:rFonts w:ascii="Times New Roman" w:hAnsi="Times New Roman" w:cs="Times New Roman"/>
        </w:rPr>
      </w:pPr>
    </w:p>
    <w:p w14:paraId="6E6E4DF5" w14:textId="77777777" w:rsidR="00FB13A2" w:rsidRDefault="00AB4819" w:rsidP="001826B6">
      <w:pPr>
        <w:tabs>
          <w:tab w:val="left" w:pos="360"/>
        </w:tabs>
        <w:ind w:right="-360"/>
        <w:rPr>
          <w:rFonts w:ascii="Times New Roman" w:hAnsi="Times New Roman" w:cs="Times New Roman"/>
        </w:rPr>
      </w:pPr>
      <w:r>
        <w:rPr>
          <w:rFonts w:ascii="Times New Roman" w:hAnsi="Times New Roman" w:cs="Times New Roman"/>
        </w:rPr>
        <w:t>•</w:t>
      </w:r>
      <w:r>
        <w:rPr>
          <w:rFonts w:ascii="Times New Roman" w:hAnsi="Times New Roman" w:cs="Times New Roman"/>
        </w:rPr>
        <w:tab/>
        <w:t>First, NNSA needs to complete a new nation-wide programmatic environmental impact statement on expanded plutonium pit production instead of relying upon the 2008 Complex Transformation Programmatic Environmental Impact Statement.</w:t>
      </w:r>
      <w:r w:rsidRPr="004723AB">
        <w:rPr>
          <w:rStyle w:val="FootnoteReference"/>
          <w:rFonts w:ascii="Times New Roman" w:hAnsi="Times New Roman" w:cs="Times New Roman"/>
        </w:rPr>
        <w:t xml:space="preserve"> </w:t>
      </w:r>
      <w:r>
        <w:rPr>
          <w:rFonts w:ascii="Times New Roman" w:hAnsi="Times New Roman" w:cs="Times New Roman"/>
        </w:rPr>
        <w:t xml:space="preserve"> This begins with the fact that the 2008 PEIS never contemplated simultaneous plutonium pit production at two sites, </w:t>
      </w:r>
      <w:r w:rsidR="00B90B87">
        <w:rPr>
          <w:rFonts w:ascii="Times New Roman" w:hAnsi="Times New Roman" w:cs="Times New Roman"/>
        </w:rPr>
        <w:t xml:space="preserve">that is </w:t>
      </w:r>
      <w:r>
        <w:rPr>
          <w:rFonts w:ascii="Times New Roman" w:hAnsi="Times New Roman" w:cs="Times New Roman"/>
        </w:rPr>
        <w:t xml:space="preserve">LANL and the Savannah River Site in South Carolina. </w:t>
      </w:r>
    </w:p>
    <w:p w14:paraId="7241F43A" w14:textId="77777777" w:rsidR="00FB13A2" w:rsidRDefault="00FB13A2" w:rsidP="001826B6">
      <w:pPr>
        <w:tabs>
          <w:tab w:val="left" w:pos="360"/>
        </w:tabs>
        <w:ind w:right="-360"/>
        <w:rPr>
          <w:rFonts w:ascii="Times New Roman" w:hAnsi="Times New Roman" w:cs="Times New Roman"/>
        </w:rPr>
      </w:pPr>
    </w:p>
    <w:p w14:paraId="5C5EB1CD" w14:textId="3F07D229" w:rsidR="00AB4819" w:rsidRDefault="00FB13A2" w:rsidP="001826B6">
      <w:pPr>
        <w:tabs>
          <w:tab w:val="left" w:pos="360"/>
        </w:tabs>
        <w:ind w:right="-360"/>
        <w:rPr>
          <w:rFonts w:ascii="Times New Roman" w:hAnsi="Times New Roman" w:cs="Times New Roman"/>
        </w:rPr>
      </w:pPr>
      <w:r>
        <w:rPr>
          <w:rFonts w:ascii="Times New Roman" w:hAnsi="Times New Roman" w:cs="Times New Roman"/>
        </w:rPr>
        <w:t>•</w:t>
      </w:r>
      <w:r>
        <w:rPr>
          <w:rFonts w:ascii="Times New Roman" w:hAnsi="Times New Roman" w:cs="Times New Roman"/>
        </w:rPr>
        <w:tab/>
      </w:r>
      <w:r w:rsidR="00AB4819">
        <w:rPr>
          <w:rFonts w:ascii="Times New Roman" w:hAnsi="Times New Roman" w:cs="Times New Roman"/>
        </w:rPr>
        <w:t xml:space="preserve">In addition, </w:t>
      </w:r>
      <w:r w:rsidR="00B90B87">
        <w:rPr>
          <w:rFonts w:ascii="Times New Roman" w:hAnsi="Times New Roman" w:cs="Times New Roman"/>
        </w:rPr>
        <w:t>a</w:t>
      </w:r>
      <w:r w:rsidR="00AB4819">
        <w:rPr>
          <w:rFonts w:ascii="Times New Roman" w:hAnsi="Times New Roman" w:cs="Times New Roman"/>
        </w:rPr>
        <w:t xml:space="preserve"> new </w:t>
      </w:r>
      <w:r w:rsidR="000A5332">
        <w:rPr>
          <w:rFonts w:ascii="Times New Roman" w:hAnsi="Times New Roman" w:cs="Times New Roman"/>
        </w:rPr>
        <w:t>programmatic environmental impact statement</w:t>
      </w:r>
      <w:r w:rsidR="00AB4819">
        <w:rPr>
          <w:rFonts w:ascii="Times New Roman" w:hAnsi="Times New Roman" w:cs="Times New Roman"/>
        </w:rPr>
        <w:t xml:space="preserve"> </w:t>
      </w:r>
      <w:r w:rsidR="000A5332">
        <w:rPr>
          <w:rFonts w:ascii="Times New Roman" w:hAnsi="Times New Roman" w:cs="Times New Roman"/>
        </w:rPr>
        <w:t>must</w:t>
      </w:r>
      <w:r w:rsidR="00AB4819">
        <w:rPr>
          <w:rFonts w:ascii="Times New Roman" w:hAnsi="Times New Roman" w:cs="Times New Roman"/>
        </w:rPr>
        <w:t xml:space="preserve"> </w:t>
      </w:r>
      <w:r w:rsidR="00B90B87">
        <w:rPr>
          <w:rFonts w:ascii="Times New Roman" w:hAnsi="Times New Roman" w:cs="Times New Roman"/>
        </w:rPr>
        <w:t>analyze</w:t>
      </w:r>
      <w:r w:rsidR="00AB4819">
        <w:rPr>
          <w:rFonts w:ascii="Times New Roman" w:hAnsi="Times New Roman" w:cs="Times New Roman"/>
        </w:rPr>
        <w:t xml:space="preserve"> the need for expanded pit production to begin with, which is not clear. Independent experts have concluded that pits have serviceable lifetimes of at least 100 years (their average age is now around 40). The U.S. already has at least 15,000 existing pits</w:t>
      </w:r>
      <w:r w:rsidR="00B90B87">
        <w:rPr>
          <w:rFonts w:ascii="Times New Roman" w:hAnsi="Times New Roman" w:cs="Times New Roman"/>
        </w:rPr>
        <w:t xml:space="preserve"> stored at the Pantex Plant near Amarillo, TX</w:t>
      </w:r>
      <w:r w:rsidR="00AB4819">
        <w:rPr>
          <w:rFonts w:ascii="Times New Roman" w:hAnsi="Times New Roman" w:cs="Times New Roman"/>
        </w:rPr>
        <w:t xml:space="preserve">. Crucially, no future pit production is to maintain the safety and reliability of the existing nuclear stockpile. Instead, it is all for speculative future </w:t>
      </w:r>
      <w:r w:rsidR="00AC46C0">
        <w:rPr>
          <w:rFonts w:ascii="Times New Roman" w:hAnsi="Times New Roman" w:cs="Times New Roman"/>
        </w:rPr>
        <w:t xml:space="preserve">nuclear weapons </w:t>
      </w:r>
      <w:r w:rsidR="00AB4819">
        <w:rPr>
          <w:rFonts w:ascii="Times New Roman" w:hAnsi="Times New Roman" w:cs="Times New Roman"/>
        </w:rPr>
        <w:t xml:space="preserve">designs </w:t>
      </w:r>
      <w:r w:rsidR="00AB4819">
        <w:rPr>
          <w:rFonts w:ascii="Times New Roman" w:hAnsi="Times New Roman" w:cs="Times New Roman"/>
        </w:rPr>
        <w:lastRenderedPageBreak/>
        <w:t xml:space="preserve">that can’t be tested because of the existing global testing moratorium, thereby </w:t>
      </w:r>
      <w:r w:rsidR="00AC46C0">
        <w:rPr>
          <w:rFonts w:ascii="Times New Roman" w:hAnsi="Times New Roman" w:cs="Times New Roman"/>
        </w:rPr>
        <w:t>potentially</w:t>
      </w:r>
      <w:r w:rsidR="00AB4819">
        <w:rPr>
          <w:rFonts w:ascii="Times New Roman" w:hAnsi="Times New Roman" w:cs="Times New Roman"/>
        </w:rPr>
        <w:t xml:space="preserve"> degrading confidence in stockpile</w:t>
      </w:r>
      <w:r w:rsidR="00831368">
        <w:rPr>
          <w:rFonts w:ascii="Times New Roman" w:hAnsi="Times New Roman" w:cs="Times New Roman"/>
        </w:rPr>
        <w:t xml:space="preserve"> reliability</w:t>
      </w:r>
      <w:r w:rsidR="00AB4819">
        <w:rPr>
          <w:rFonts w:ascii="Times New Roman" w:hAnsi="Times New Roman" w:cs="Times New Roman"/>
        </w:rPr>
        <w:t xml:space="preserve">. Or, perhaps worse yet, it could prompt the U.S. to resume testing, which would have severe international proliferation consequences. </w:t>
      </w:r>
      <w:r w:rsidR="00831368">
        <w:rPr>
          <w:rFonts w:ascii="Times New Roman" w:hAnsi="Times New Roman" w:cs="Times New Roman"/>
        </w:rPr>
        <w:t xml:space="preserve">Finally, expanded plutonium pit production </w:t>
      </w:r>
      <w:r w:rsidR="00AC46C0">
        <w:rPr>
          <w:rFonts w:ascii="Times New Roman" w:hAnsi="Times New Roman" w:cs="Times New Roman"/>
        </w:rPr>
        <w:t>will</w:t>
      </w:r>
      <w:r w:rsidR="00831368">
        <w:rPr>
          <w:rFonts w:ascii="Times New Roman" w:hAnsi="Times New Roman" w:cs="Times New Roman"/>
        </w:rPr>
        <w:t xml:space="preserve"> help </w:t>
      </w:r>
      <w:r>
        <w:rPr>
          <w:rFonts w:ascii="Times New Roman" w:hAnsi="Times New Roman" w:cs="Times New Roman"/>
        </w:rPr>
        <w:t>fuel</w:t>
      </w:r>
      <w:r w:rsidR="00831368">
        <w:rPr>
          <w:rFonts w:ascii="Times New Roman" w:hAnsi="Times New Roman" w:cs="Times New Roman"/>
        </w:rPr>
        <w:t xml:space="preserve"> the new nuclear arms race. Thus, a new programmatic environmental impact statement should examine whether or not expanded plutonium pit production is the U.S.’ best national security interests to begin with. </w:t>
      </w:r>
    </w:p>
    <w:p w14:paraId="6A125549" w14:textId="77777777" w:rsidR="00AB4819" w:rsidRDefault="00AB4819" w:rsidP="001826B6">
      <w:pPr>
        <w:tabs>
          <w:tab w:val="left" w:pos="360"/>
        </w:tabs>
        <w:ind w:right="-360"/>
        <w:rPr>
          <w:rFonts w:ascii="Times New Roman" w:hAnsi="Times New Roman" w:cs="Times New Roman"/>
        </w:rPr>
      </w:pPr>
    </w:p>
    <w:p w14:paraId="58173465" w14:textId="2CC6B4E3" w:rsidR="00880AE8" w:rsidRDefault="00880AE8" w:rsidP="001826B6">
      <w:pPr>
        <w:tabs>
          <w:tab w:val="left" w:pos="360"/>
        </w:tabs>
        <w:ind w:right="-360"/>
        <w:rPr>
          <w:rFonts w:ascii="Times New Roman" w:hAnsi="Times New Roman" w:cs="Times New Roman"/>
        </w:rPr>
      </w:pPr>
      <w:r>
        <w:rPr>
          <w:rFonts w:ascii="Times New Roman" w:hAnsi="Times New Roman" w:cs="Times New Roman"/>
        </w:rPr>
        <w:t>•</w:t>
      </w:r>
      <w:r>
        <w:rPr>
          <w:rFonts w:ascii="Times New Roman" w:hAnsi="Times New Roman" w:cs="Times New Roman"/>
        </w:rPr>
        <w:tab/>
      </w:r>
      <w:r w:rsidR="00831368">
        <w:rPr>
          <w:rFonts w:ascii="Times New Roman" w:hAnsi="Times New Roman" w:cs="Times New Roman"/>
        </w:rPr>
        <w:t>A</w:t>
      </w:r>
      <w:r>
        <w:rPr>
          <w:rFonts w:ascii="Times New Roman" w:hAnsi="Times New Roman" w:cs="Times New Roman"/>
        </w:rPr>
        <w:t xml:space="preserve"> new</w:t>
      </w:r>
      <w:r w:rsidR="00831368">
        <w:rPr>
          <w:rFonts w:ascii="Times New Roman" w:hAnsi="Times New Roman" w:cs="Times New Roman"/>
        </w:rPr>
        <w:t xml:space="preserve"> LANL Site-Wide Environmental Impact Statement </w:t>
      </w:r>
      <w:r w:rsidR="00FB13A2">
        <w:rPr>
          <w:rFonts w:ascii="Times New Roman" w:hAnsi="Times New Roman" w:cs="Times New Roman"/>
        </w:rPr>
        <w:t>should</w:t>
      </w:r>
      <w:r w:rsidR="00831368">
        <w:rPr>
          <w:rFonts w:ascii="Times New Roman" w:hAnsi="Times New Roman" w:cs="Times New Roman"/>
        </w:rPr>
        <w:t xml:space="preserve"> then be “tiered” off the new programmatic environmental impact statement as encouraged by the National Environmental Policy Act. </w:t>
      </w:r>
      <w:r w:rsidR="00725BFD">
        <w:rPr>
          <w:rFonts w:ascii="Times New Roman" w:hAnsi="Times New Roman" w:cs="Times New Roman"/>
        </w:rPr>
        <w:t>The new SWEIS</w:t>
      </w:r>
      <w:r>
        <w:rPr>
          <w:rFonts w:ascii="Times New Roman" w:hAnsi="Times New Roman" w:cs="Times New Roman"/>
        </w:rPr>
        <w:t xml:space="preserve"> must address </w:t>
      </w:r>
      <w:r w:rsidR="00A57B32">
        <w:rPr>
          <w:rFonts w:ascii="Times New Roman" w:hAnsi="Times New Roman" w:cs="Times New Roman"/>
        </w:rPr>
        <w:t xml:space="preserve">the site-specific impacts of </w:t>
      </w:r>
      <w:r>
        <w:rPr>
          <w:rFonts w:ascii="Times New Roman" w:hAnsi="Times New Roman" w:cs="Times New Roman"/>
        </w:rPr>
        <w:t>expanded plutonium pit production at the Lab</w:t>
      </w:r>
      <w:r w:rsidR="0078145D">
        <w:rPr>
          <w:rFonts w:ascii="Times New Roman" w:hAnsi="Times New Roman" w:cs="Times New Roman"/>
        </w:rPr>
        <w:t xml:space="preserve">, when there is </w:t>
      </w:r>
      <w:r w:rsidR="00725BFD">
        <w:rPr>
          <w:rFonts w:ascii="Times New Roman" w:hAnsi="Times New Roman" w:cs="Times New Roman"/>
        </w:rPr>
        <w:t xml:space="preserve">a </w:t>
      </w:r>
      <w:r w:rsidR="002F2064">
        <w:rPr>
          <w:rFonts w:ascii="Times New Roman" w:hAnsi="Times New Roman" w:cs="Times New Roman"/>
        </w:rPr>
        <w:t>strong</w:t>
      </w:r>
      <w:r w:rsidR="0078145D">
        <w:rPr>
          <w:rFonts w:ascii="Times New Roman" w:hAnsi="Times New Roman" w:cs="Times New Roman"/>
        </w:rPr>
        <w:t xml:space="preserve"> indication that it will not. </w:t>
      </w:r>
      <w:r w:rsidR="00340F58">
        <w:rPr>
          <w:rFonts w:ascii="Times New Roman" w:hAnsi="Times New Roman" w:cs="Times New Roman"/>
        </w:rPr>
        <w:t xml:space="preserve">NNSA’s argument that it sufficiently made that analysis in the 2020 Supplement Analysis is simply wrong. </w:t>
      </w:r>
      <w:r w:rsidR="00D36F4C">
        <w:rPr>
          <w:rFonts w:ascii="Times New Roman" w:hAnsi="Times New Roman" w:cs="Times New Roman"/>
        </w:rPr>
        <w:t xml:space="preserve">The </w:t>
      </w:r>
      <w:r w:rsidR="00D36F4C" w:rsidRPr="00D50DC2">
        <w:rPr>
          <w:rFonts w:ascii="Times New Roman" w:hAnsi="Times New Roman" w:cs="Times New Roman"/>
        </w:rPr>
        <w:t xml:space="preserve">planned expenditure of </w:t>
      </w:r>
      <w:r w:rsidR="006C67CA">
        <w:rPr>
          <w:rFonts w:ascii="Times New Roman" w:hAnsi="Times New Roman" w:cs="Times New Roman"/>
        </w:rPr>
        <w:t>at least</w:t>
      </w:r>
      <w:r w:rsidR="00D36F4C" w:rsidRPr="00D50DC2">
        <w:rPr>
          <w:rFonts w:ascii="Times New Roman" w:hAnsi="Times New Roman" w:cs="Times New Roman"/>
        </w:rPr>
        <w:t xml:space="preserve"> $</w:t>
      </w:r>
      <w:r w:rsidR="00D36F4C">
        <w:rPr>
          <w:rFonts w:ascii="Times New Roman" w:hAnsi="Times New Roman" w:cs="Times New Roman"/>
        </w:rPr>
        <w:t>8</w:t>
      </w:r>
      <w:r w:rsidR="00D36F4C" w:rsidRPr="00D50DC2">
        <w:rPr>
          <w:rFonts w:ascii="Times New Roman" w:hAnsi="Times New Roman" w:cs="Times New Roman"/>
        </w:rPr>
        <w:t xml:space="preserve"> billion in plutonium facility upgrades, </w:t>
      </w:r>
      <w:r w:rsidR="006C67CA">
        <w:rPr>
          <w:rFonts w:ascii="Times New Roman" w:hAnsi="Times New Roman" w:cs="Times New Roman"/>
        </w:rPr>
        <w:t xml:space="preserve">2.4 million square feet of new construction over the next decade, </w:t>
      </w:r>
      <w:r w:rsidR="00FB13A2">
        <w:rPr>
          <w:rFonts w:ascii="Times New Roman" w:hAnsi="Times New Roman" w:cs="Times New Roman"/>
        </w:rPr>
        <w:t xml:space="preserve">and </w:t>
      </w:r>
      <w:r w:rsidR="00D36F4C" w:rsidRPr="00D50DC2">
        <w:rPr>
          <w:rFonts w:ascii="Times New Roman" w:hAnsi="Times New Roman" w:cs="Times New Roman"/>
        </w:rPr>
        <w:t>the unprecedented amount of offsite leasing for office space</w:t>
      </w:r>
      <w:r w:rsidR="006C67CA">
        <w:rPr>
          <w:rFonts w:ascii="Times New Roman" w:hAnsi="Times New Roman" w:cs="Times New Roman"/>
        </w:rPr>
        <w:t>,</w:t>
      </w:r>
      <w:r w:rsidR="00D36F4C" w:rsidRPr="00D50DC2">
        <w:rPr>
          <w:rFonts w:ascii="Times New Roman" w:hAnsi="Times New Roman" w:cs="Times New Roman"/>
        </w:rPr>
        <w:t xml:space="preserve"> all </w:t>
      </w:r>
      <w:r w:rsidR="006C67CA">
        <w:rPr>
          <w:rFonts w:ascii="Times New Roman" w:hAnsi="Times New Roman" w:cs="Times New Roman"/>
        </w:rPr>
        <w:t xml:space="preserve">primarily driven by expanded plutonium pit production, </w:t>
      </w:r>
      <w:r w:rsidR="00D36F4C" w:rsidRPr="00D50DC2">
        <w:rPr>
          <w:rFonts w:ascii="Times New Roman" w:hAnsi="Times New Roman" w:cs="Times New Roman"/>
        </w:rPr>
        <w:t xml:space="preserve">need analysis in a new SWEIS. </w:t>
      </w:r>
      <w:r w:rsidR="00340F58">
        <w:rPr>
          <w:rFonts w:ascii="Times New Roman" w:hAnsi="Times New Roman" w:cs="Times New Roman"/>
        </w:rPr>
        <w:t xml:space="preserve">None of that was </w:t>
      </w:r>
      <w:r w:rsidR="00DF577C">
        <w:rPr>
          <w:rFonts w:ascii="Times New Roman" w:hAnsi="Times New Roman" w:cs="Times New Roman"/>
        </w:rPr>
        <w:t>adequately analyzed (if at all)</w:t>
      </w:r>
      <w:r w:rsidR="00340F58">
        <w:rPr>
          <w:rFonts w:ascii="Times New Roman" w:hAnsi="Times New Roman" w:cs="Times New Roman"/>
        </w:rPr>
        <w:t xml:space="preserve"> in the 2020 Supplement Analysis. </w:t>
      </w:r>
    </w:p>
    <w:p w14:paraId="4CDDD7AF" w14:textId="75A8414B" w:rsidR="00891CA6" w:rsidRDefault="00891CA6" w:rsidP="001826B6">
      <w:pPr>
        <w:tabs>
          <w:tab w:val="left" w:pos="360"/>
        </w:tabs>
        <w:ind w:right="-360"/>
        <w:rPr>
          <w:rFonts w:ascii="Times New Roman" w:hAnsi="Times New Roman" w:cs="Times New Roman"/>
        </w:rPr>
      </w:pPr>
    </w:p>
    <w:p w14:paraId="52DDC997" w14:textId="3284A553" w:rsidR="00891CA6" w:rsidRDefault="00891CA6" w:rsidP="001826B6">
      <w:pPr>
        <w:tabs>
          <w:tab w:val="left" w:pos="360"/>
        </w:tabs>
        <w:ind w:right="-360"/>
        <w:rPr>
          <w:rFonts w:ascii="Times New Roman" w:hAnsi="Times New Roman" w:cs="Times New Roman"/>
        </w:rPr>
      </w:pPr>
      <w:r>
        <w:rPr>
          <w:rFonts w:ascii="Times New Roman" w:hAnsi="Times New Roman" w:cs="Times New Roman"/>
        </w:rPr>
        <w:t>•</w:t>
      </w:r>
      <w:r>
        <w:rPr>
          <w:rFonts w:ascii="Times New Roman" w:hAnsi="Times New Roman" w:cs="Times New Roman"/>
        </w:rPr>
        <w:tab/>
        <w:t xml:space="preserve">NNSA has repeatedly refused to undertake a new programmatic environmental impact statement on expanded plutonium pit production, which is flat out wrong and the subject of </w:t>
      </w:r>
      <w:r w:rsidR="005820E6">
        <w:rPr>
          <w:rFonts w:ascii="Times New Roman" w:hAnsi="Times New Roman" w:cs="Times New Roman"/>
        </w:rPr>
        <w:t xml:space="preserve">existing </w:t>
      </w:r>
      <w:r>
        <w:rPr>
          <w:rFonts w:ascii="Times New Roman" w:hAnsi="Times New Roman" w:cs="Times New Roman"/>
        </w:rPr>
        <w:t>citizen litigation.</w:t>
      </w:r>
      <w:r>
        <w:rPr>
          <w:rStyle w:val="FootnoteReference"/>
          <w:rFonts w:ascii="Times New Roman" w:hAnsi="Times New Roman" w:cs="Times New Roman"/>
        </w:rPr>
        <w:footnoteReference w:id="3"/>
      </w:r>
      <w:r w:rsidR="006620AE">
        <w:rPr>
          <w:rFonts w:ascii="Times New Roman" w:hAnsi="Times New Roman" w:cs="Times New Roman"/>
        </w:rPr>
        <w:t xml:space="preserve"> But </w:t>
      </w:r>
      <w:r w:rsidR="005820E6">
        <w:rPr>
          <w:rFonts w:ascii="Times New Roman" w:hAnsi="Times New Roman" w:cs="Times New Roman"/>
        </w:rPr>
        <w:t xml:space="preserve">irrespective of </w:t>
      </w:r>
      <w:r w:rsidR="006620AE">
        <w:rPr>
          <w:rFonts w:ascii="Times New Roman" w:hAnsi="Times New Roman" w:cs="Times New Roman"/>
        </w:rPr>
        <w:t>whether or not NNSA completes a new PEIS</w:t>
      </w:r>
      <w:r w:rsidR="005820E6">
        <w:rPr>
          <w:rFonts w:ascii="Times New Roman" w:hAnsi="Times New Roman" w:cs="Times New Roman"/>
        </w:rPr>
        <w:t>,</w:t>
      </w:r>
      <w:r w:rsidR="006620AE">
        <w:rPr>
          <w:rFonts w:ascii="Times New Roman" w:hAnsi="Times New Roman" w:cs="Times New Roman"/>
        </w:rPr>
        <w:t xml:space="preserve"> the following issues should be analyzed in a new LANL SWEIS. </w:t>
      </w:r>
    </w:p>
    <w:p w14:paraId="28C19E1D" w14:textId="26DB9621" w:rsidR="005914D3" w:rsidRDefault="005914D3" w:rsidP="001826B6">
      <w:pPr>
        <w:tabs>
          <w:tab w:val="left" w:pos="360"/>
        </w:tabs>
        <w:ind w:right="-360"/>
        <w:rPr>
          <w:rFonts w:ascii="Times New Roman" w:hAnsi="Times New Roman" w:cs="Times New Roman"/>
        </w:rPr>
      </w:pPr>
    </w:p>
    <w:p w14:paraId="29CCFEF0" w14:textId="56F946C9" w:rsidR="00D36F4C" w:rsidRDefault="005914D3" w:rsidP="001826B6">
      <w:pPr>
        <w:tabs>
          <w:tab w:val="left" w:pos="360"/>
        </w:tabs>
        <w:ind w:right="-360"/>
        <w:rPr>
          <w:rFonts w:ascii="Times New Roman" w:hAnsi="Times New Roman" w:cs="Times New Roman"/>
        </w:rPr>
      </w:pPr>
      <w:r>
        <w:rPr>
          <w:rFonts w:ascii="Times New Roman" w:hAnsi="Times New Roman" w:cs="Times New Roman"/>
        </w:rPr>
        <w:t>•</w:t>
      </w:r>
      <w:r>
        <w:rPr>
          <w:rFonts w:ascii="Times New Roman" w:hAnsi="Times New Roman" w:cs="Times New Roman"/>
        </w:rPr>
        <w:tab/>
        <w:t xml:space="preserve">LANL’s chronic history of nuclear safety incidences need analysis </w:t>
      </w:r>
      <w:r w:rsidR="00D36F4C">
        <w:rPr>
          <w:rFonts w:ascii="Times New Roman" w:hAnsi="Times New Roman" w:cs="Times New Roman"/>
        </w:rPr>
        <w:t xml:space="preserve">and resolution </w:t>
      </w:r>
      <w:r w:rsidRPr="00D36F4C">
        <w:rPr>
          <w:rFonts w:ascii="Times New Roman" w:hAnsi="Times New Roman" w:cs="Times New Roman"/>
          <w:u w:val="single"/>
        </w:rPr>
        <w:t>before</w:t>
      </w:r>
      <w:r>
        <w:rPr>
          <w:rFonts w:ascii="Times New Roman" w:hAnsi="Times New Roman" w:cs="Times New Roman"/>
        </w:rPr>
        <w:t xml:space="preserve"> expanding plutonium pit production</w:t>
      </w:r>
      <w:r w:rsidR="00D36F4C">
        <w:rPr>
          <w:rFonts w:ascii="Times New Roman" w:hAnsi="Times New Roman" w:cs="Times New Roman"/>
        </w:rPr>
        <w:t>. These concerns are serious enough that</w:t>
      </w:r>
      <w:r w:rsidR="00D36F4C" w:rsidRPr="00D50DC2">
        <w:rPr>
          <w:rFonts w:ascii="Times New Roman" w:hAnsi="Times New Roman" w:cs="Times New Roman"/>
        </w:rPr>
        <w:t xml:space="preserve"> major operations at LANL’s main plutonium facility (“PF-4”) </w:t>
      </w:r>
      <w:r w:rsidR="00D36F4C">
        <w:rPr>
          <w:rFonts w:ascii="Times New Roman" w:hAnsi="Times New Roman" w:cs="Times New Roman"/>
        </w:rPr>
        <w:t xml:space="preserve">were halted </w:t>
      </w:r>
      <w:r w:rsidR="00D36F4C" w:rsidRPr="00D50DC2">
        <w:rPr>
          <w:rFonts w:ascii="Times New Roman" w:hAnsi="Times New Roman" w:cs="Times New Roman"/>
        </w:rPr>
        <w:t>for more than three years</w:t>
      </w:r>
      <w:r w:rsidR="00D36F4C">
        <w:rPr>
          <w:rFonts w:ascii="Times New Roman" w:hAnsi="Times New Roman" w:cs="Times New Roman"/>
        </w:rPr>
        <w:t>, yet nuclear safety incidences still occur</w:t>
      </w:r>
      <w:r w:rsidR="00D36F4C" w:rsidRPr="00D50DC2">
        <w:rPr>
          <w:rFonts w:ascii="Times New Roman" w:hAnsi="Times New Roman" w:cs="Times New Roman"/>
        </w:rPr>
        <w:t>.</w:t>
      </w:r>
    </w:p>
    <w:p w14:paraId="67EA30E5" w14:textId="77777777" w:rsidR="00D36F4C" w:rsidRPr="00D50DC2" w:rsidRDefault="00D36F4C" w:rsidP="001826B6">
      <w:pPr>
        <w:tabs>
          <w:tab w:val="left" w:pos="360"/>
        </w:tabs>
        <w:ind w:right="-360"/>
        <w:rPr>
          <w:rFonts w:ascii="Times New Roman" w:hAnsi="Times New Roman" w:cs="Times New Roman"/>
        </w:rPr>
      </w:pPr>
    </w:p>
    <w:p w14:paraId="29486BCA" w14:textId="41B9CEAC" w:rsidR="00D36F4C" w:rsidRDefault="00D36F4C" w:rsidP="001826B6">
      <w:pPr>
        <w:tabs>
          <w:tab w:val="left" w:pos="360"/>
        </w:tabs>
        <w:ind w:right="-360"/>
        <w:rPr>
          <w:rFonts w:ascii="Times New Roman" w:hAnsi="Times New Roman" w:cs="Times New Roman"/>
        </w:rPr>
      </w:pPr>
      <w:r>
        <w:rPr>
          <w:rFonts w:ascii="Times New Roman" w:hAnsi="Times New Roman" w:cs="Times New Roman"/>
        </w:rPr>
        <w:t>•</w:t>
      </w:r>
      <w:r>
        <w:rPr>
          <w:rFonts w:ascii="Times New Roman" w:hAnsi="Times New Roman" w:cs="Times New Roman"/>
        </w:rPr>
        <w:tab/>
      </w:r>
      <w:r w:rsidRPr="00D50DC2">
        <w:rPr>
          <w:rFonts w:ascii="Times New Roman" w:hAnsi="Times New Roman" w:cs="Times New Roman"/>
        </w:rPr>
        <w:t>It is also not clear how expanded pit production can safely operate concurrently with other major plutonium programs at the aging PF-4 facility</w:t>
      </w:r>
      <w:r w:rsidR="00AC46C0">
        <w:rPr>
          <w:rFonts w:ascii="Times New Roman" w:hAnsi="Times New Roman" w:cs="Times New Roman"/>
        </w:rPr>
        <w:t>. This very much includes</w:t>
      </w:r>
      <w:r w:rsidRPr="00D50DC2">
        <w:rPr>
          <w:rFonts w:ascii="Times New Roman" w:hAnsi="Times New Roman" w:cs="Times New Roman"/>
        </w:rPr>
        <w:t xml:space="preserve"> the emerging issue of pre-processing </w:t>
      </w:r>
      <w:r w:rsidR="005820E6">
        <w:rPr>
          <w:rFonts w:ascii="Times New Roman" w:hAnsi="Times New Roman" w:cs="Times New Roman"/>
        </w:rPr>
        <w:t>more than 40</w:t>
      </w:r>
      <w:r w:rsidRPr="00D50DC2">
        <w:rPr>
          <w:rFonts w:ascii="Times New Roman" w:hAnsi="Times New Roman" w:cs="Times New Roman"/>
        </w:rPr>
        <w:t xml:space="preserve"> metrics tons of excess plutonium for eventual disposal at </w:t>
      </w:r>
      <w:r>
        <w:rPr>
          <w:rFonts w:ascii="Times New Roman" w:hAnsi="Times New Roman" w:cs="Times New Roman"/>
        </w:rPr>
        <w:t>the Waste Isolation Pilot Plant (WIPP)</w:t>
      </w:r>
      <w:r w:rsidRPr="00D50DC2">
        <w:rPr>
          <w:rFonts w:ascii="Times New Roman" w:hAnsi="Times New Roman" w:cs="Times New Roman"/>
        </w:rPr>
        <w:t xml:space="preserve">. </w:t>
      </w:r>
      <w:r w:rsidR="0095163E">
        <w:rPr>
          <w:rFonts w:ascii="Times New Roman" w:hAnsi="Times New Roman" w:cs="Times New Roman"/>
        </w:rPr>
        <w:t xml:space="preserve">That needs full disclosure in a new LANL SWEIS. </w:t>
      </w:r>
    </w:p>
    <w:p w14:paraId="12AB2B1F" w14:textId="77777777" w:rsidR="00D36F4C" w:rsidRDefault="00D36F4C" w:rsidP="001826B6">
      <w:pPr>
        <w:tabs>
          <w:tab w:val="left" w:pos="360"/>
        </w:tabs>
        <w:ind w:right="-360"/>
        <w:rPr>
          <w:rFonts w:ascii="Times New Roman" w:hAnsi="Times New Roman" w:cs="Times New Roman"/>
        </w:rPr>
      </w:pPr>
    </w:p>
    <w:p w14:paraId="385D0857" w14:textId="07A83B16" w:rsidR="00D36F4C" w:rsidRPr="00D50DC2" w:rsidRDefault="00D36F4C" w:rsidP="001826B6">
      <w:pPr>
        <w:tabs>
          <w:tab w:val="left" w:pos="360"/>
        </w:tabs>
        <w:ind w:right="-360"/>
        <w:rPr>
          <w:rFonts w:ascii="Times New Roman" w:hAnsi="Times New Roman" w:cs="Times New Roman"/>
        </w:rPr>
      </w:pPr>
      <w:r>
        <w:rPr>
          <w:rFonts w:ascii="Times New Roman" w:hAnsi="Times New Roman" w:cs="Times New Roman"/>
        </w:rPr>
        <w:t>•</w:t>
      </w:r>
      <w:r>
        <w:rPr>
          <w:rFonts w:ascii="Times New Roman" w:hAnsi="Times New Roman" w:cs="Times New Roman"/>
        </w:rPr>
        <w:tab/>
      </w:r>
      <w:r w:rsidRPr="00D50DC2">
        <w:rPr>
          <w:rFonts w:ascii="Times New Roman" w:hAnsi="Times New Roman" w:cs="Times New Roman"/>
        </w:rPr>
        <w:t xml:space="preserve">In addition, </w:t>
      </w:r>
      <w:r w:rsidR="002F2064">
        <w:rPr>
          <w:rFonts w:ascii="Times New Roman" w:hAnsi="Times New Roman" w:cs="Times New Roman"/>
        </w:rPr>
        <w:t>the</w:t>
      </w:r>
      <w:r w:rsidRPr="00D50DC2">
        <w:rPr>
          <w:rFonts w:ascii="Times New Roman" w:hAnsi="Times New Roman" w:cs="Times New Roman"/>
        </w:rPr>
        <w:t xml:space="preserve"> new SWEIS need</w:t>
      </w:r>
      <w:r w:rsidR="002F2064">
        <w:rPr>
          <w:rFonts w:ascii="Times New Roman" w:hAnsi="Times New Roman" w:cs="Times New Roman"/>
        </w:rPr>
        <w:t>s</w:t>
      </w:r>
      <w:r w:rsidRPr="00D50DC2">
        <w:rPr>
          <w:rFonts w:ascii="Times New Roman" w:hAnsi="Times New Roman" w:cs="Times New Roman"/>
        </w:rPr>
        <w:t xml:space="preserve"> to analyze PF-4’s capacity to sustain so-called surge production at 80 pits per year in the event that planned simultaneous pit production at the Savannah River Site is </w:t>
      </w:r>
      <w:r w:rsidR="00462095">
        <w:rPr>
          <w:rFonts w:ascii="Times New Roman" w:hAnsi="Times New Roman" w:cs="Times New Roman"/>
        </w:rPr>
        <w:t xml:space="preserve">further </w:t>
      </w:r>
      <w:r w:rsidRPr="00D50DC2">
        <w:rPr>
          <w:rFonts w:ascii="Times New Roman" w:hAnsi="Times New Roman" w:cs="Times New Roman"/>
        </w:rPr>
        <w:t>delayed</w:t>
      </w:r>
      <w:r>
        <w:rPr>
          <w:rFonts w:ascii="Times New Roman" w:hAnsi="Times New Roman" w:cs="Times New Roman"/>
        </w:rPr>
        <w:t xml:space="preserve"> </w:t>
      </w:r>
      <w:r w:rsidRPr="00D50DC2">
        <w:rPr>
          <w:rFonts w:ascii="Times New Roman" w:hAnsi="Times New Roman" w:cs="Times New Roman"/>
        </w:rPr>
        <w:t xml:space="preserve">or </w:t>
      </w:r>
      <w:r>
        <w:rPr>
          <w:rFonts w:ascii="Times New Roman" w:hAnsi="Times New Roman" w:cs="Times New Roman"/>
        </w:rPr>
        <w:t xml:space="preserve">perhaps </w:t>
      </w:r>
      <w:r w:rsidRPr="00D50DC2">
        <w:rPr>
          <w:rFonts w:ascii="Times New Roman" w:hAnsi="Times New Roman" w:cs="Times New Roman"/>
        </w:rPr>
        <w:t xml:space="preserve">even canceled. </w:t>
      </w:r>
    </w:p>
    <w:p w14:paraId="7FECEC49" w14:textId="77777777" w:rsidR="005914D3" w:rsidRDefault="005914D3" w:rsidP="001826B6">
      <w:pPr>
        <w:tabs>
          <w:tab w:val="left" w:pos="360"/>
        </w:tabs>
        <w:ind w:right="-360"/>
        <w:rPr>
          <w:rFonts w:ascii="Times New Roman" w:hAnsi="Times New Roman" w:cs="Times New Roman"/>
        </w:rPr>
      </w:pPr>
    </w:p>
    <w:p w14:paraId="700437A4" w14:textId="44457EF1" w:rsidR="005914D3" w:rsidRDefault="005914D3" w:rsidP="001826B6">
      <w:pPr>
        <w:tabs>
          <w:tab w:val="left" w:pos="360"/>
        </w:tabs>
        <w:ind w:right="-360"/>
        <w:rPr>
          <w:rFonts w:ascii="Times New Roman" w:hAnsi="Times New Roman" w:cs="Times New Roman"/>
        </w:rPr>
      </w:pPr>
      <w:r>
        <w:rPr>
          <w:rFonts w:ascii="Times New Roman" w:hAnsi="Times New Roman" w:cs="Times New Roman"/>
        </w:rPr>
        <w:t>•</w:t>
      </w:r>
      <w:r>
        <w:rPr>
          <w:rFonts w:ascii="Times New Roman" w:hAnsi="Times New Roman" w:cs="Times New Roman"/>
        </w:rPr>
        <w:tab/>
      </w:r>
      <w:r w:rsidRPr="00D50DC2">
        <w:rPr>
          <w:rFonts w:ascii="Times New Roman" w:hAnsi="Times New Roman" w:cs="Times New Roman"/>
        </w:rPr>
        <w:t xml:space="preserve">DOE’s calculated potential doses to workers and the public </w:t>
      </w:r>
      <w:r w:rsidR="0095163E">
        <w:rPr>
          <w:rFonts w:ascii="Times New Roman" w:hAnsi="Times New Roman" w:cs="Times New Roman"/>
        </w:rPr>
        <w:t>in its 2020 Supplement Analysis</w:t>
      </w:r>
      <w:r w:rsidRPr="00D50DC2">
        <w:rPr>
          <w:rFonts w:ascii="Times New Roman" w:hAnsi="Times New Roman" w:cs="Times New Roman"/>
        </w:rPr>
        <w:t xml:space="preserve"> are orders of magnitude lower than those calculated by the independent Defense Nuclear Facilities Safety Board</w:t>
      </w:r>
      <w:r>
        <w:rPr>
          <w:rFonts w:ascii="Times New Roman" w:hAnsi="Times New Roman" w:cs="Times New Roman"/>
        </w:rPr>
        <w:t xml:space="preserve"> (some of which are lethal doses)</w:t>
      </w:r>
      <w:r w:rsidRPr="00D50DC2">
        <w:rPr>
          <w:rFonts w:ascii="Times New Roman" w:hAnsi="Times New Roman" w:cs="Times New Roman"/>
        </w:rPr>
        <w:t>.</w:t>
      </w:r>
      <w:r>
        <w:rPr>
          <w:rFonts w:ascii="Times New Roman" w:hAnsi="Times New Roman" w:cs="Times New Roman"/>
        </w:rPr>
        <w:t xml:space="preserve"> </w:t>
      </w:r>
      <w:r w:rsidRPr="00D50DC2">
        <w:rPr>
          <w:rFonts w:ascii="Times New Roman" w:hAnsi="Times New Roman" w:cs="Times New Roman"/>
        </w:rPr>
        <w:t>It is generally acknowledged that risk analysis is at the heart of NEPA</w:t>
      </w:r>
      <w:r>
        <w:rPr>
          <w:rFonts w:ascii="Times New Roman" w:hAnsi="Times New Roman" w:cs="Times New Roman"/>
        </w:rPr>
        <w:t>.</w:t>
      </w:r>
      <w:r w:rsidRPr="00D50DC2">
        <w:rPr>
          <w:rFonts w:ascii="Times New Roman" w:hAnsi="Times New Roman" w:cs="Times New Roman"/>
        </w:rPr>
        <w:t xml:space="preserve"> </w:t>
      </w:r>
      <w:r>
        <w:rPr>
          <w:rFonts w:ascii="Times New Roman" w:hAnsi="Times New Roman" w:cs="Times New Roman"/>
        </w:rPr>
        <w:t>This</w:t>
      </w:r>
      <w:r w:rsidRPr="00D50DC2">
        <w:rPr>
          <w:rFonts w:ascii="Times New Roman" w:hAnsi="Times New Roman" w:cs="Times New Roman"/>
        </w:rPr>
        <w:t xml:space="preserve"> mismatch between the NNSA’s and the Safety Board’s </w:t>
      </w:r>
      <w:r>
        <w:rPr>
          <w:rFonts w:ascii="Times New Roman" w:hAnsi="Times New Roman" w:cs="Times New Roman"/>
        </w:rPr>
        <w:t xml:space="preserve">potential dose </w:t>
      </w:r>
      <w:r w:rsidRPr="00D50DC2">
        <w:rPr>
          <w:rFonts w:ascii="Times New Roman" w:hAnsi="Times New Roman" w:cs="Times New Roman"/>
        </w:rPr>
        <w:t xml:space="preserve">calculations needs to be reconciled in </w:t>
      </w:r>
      <w:r w:rsidR="002F2064">
        <w:rPr>
          <w:rFonts w:ascii="Times New Roman" w:hAnsi="Times New Roman" w:cs="Times New Roman"/>
        </w:rPr>
        <w:t>the</w:t>
      </w:r>
      <w:r w:rsidRPr="00D50DC2">
        <w:rPr>
          <w:rFonts w:ascii="Times New Roman" w:hAnsi="Times New Roman" w:cs="Times New Roman"/>
        </w:rPr>
        <w:t xml:space="preserve"> new SWEIS.</w:t>
      </w:r>
    </w:p>
    <w:p w14:paraId="18D11B6E" w14:textId="77777777" w:rsidR="00B70040" w:rsidRPr="00D50DC2" w:rsidRDefault="00B70040" w:rsidP="001826B6">
      <w:pPr>
        <w:tabs>
          <w:tab w:val="left" w:pos="360"/>
        </w:tabs>
        <w:ind w:right="-360"/>
        <w:rPr>
          <w:rFonts w:ascii="Times New Roman" w:hAnsi="Times New Roman" w:cs="Times New Roman"/>
        </w:rPr>
      </w:pPr>
    </w:p>
    <w:p w14:paraId="29160183" w14:textId="0586344A" w:rsidR="00B70040" w:rsidRDefault="005914D3" w:rsidP="001826B6">
      <w:pPr>
        <w:tabs>
          <w:tab w:val="left" w:pos="360"/>
        </w:tabs>
        <w:ind w:right="-360"/>
        <w:rPr>
          <w:rFonts w:ascii="Times New Roman" w:hAnsi="Times New Roman" w:cs="Times New Roman"/>
        </w:rPr>
      </w:pPr>
      <w:r>
        <w:rPr>
          <w:rFonts w:ascii="Times New Roman" w:hAnsi="Times New Roman" w:cs="Times New Roman"/>
        </w:rPr>
        <w:lastRenderedPageBreak/>
        <w:t>•</w:t>
      </w:r>
      <w:r>
        <w:rPr>
          <w:rFonts w:ascii="Times New Roman" w:hAnsi="Times New Roman" w:cs="Times New Roman"/>
        </w:rPr>
        <w:tab/>
        <w:t xml:space="preserve">LANL plans to intentionally vent up to 100,000 curies of </w:t>
      </w:r>
      <w:r w:rsidR="00A87577">
        <w:rPr>
          <w:rFonts w:ascii="Times New Roman" w:hAnsi="Times New Roman" w:cs="Times New Roman"/>
        </w:rPr>
        <w:t xml:space="preserve">gaseous </w:t>
      </w:r>
      <w:r>
        <w:rPr>
          <w:rFonts w:ascii="Times New Roman" w:hAnsi="Times New Roman" w:cs="Times New Roman"/>
        </w:rPr>
        <w:t>radioactive tritium</w:t>
      </w:r>
      <w:r w:rsidR="00A87577">
        <w:rPr>
          <w:rFonts w:ascii="Times New Roman" w:hAnsi="Times New Roman" w:cs="Times New Roman"/>
        </w:rPr>
        <w:t xml:space="preserve"> and possibly more over time. That deserves </w:t>
      </w:r>
      <w:r w:rsidR="00D36F4C">
        <w:rPr>
          <w:rFonts w:ascii="Times New Roman" w:hAnsi="Times New Roman" w:cs="Times New Roman"/>
        </w:rPr>
        <w:t xml:space="preserve">disclosure and </w:t>
      </w:r>
      <w:r w:rsidR="00A87577">
        <w:rPr>
          <w:rFonts w:ascii="Times New Roman" w:hAnsi="Times New Roman" w:cs="Times New Roman"/>
        </w:rPr>
        <w:t>analysis in a new draft SWEIS.</w:t>
      </w:r>
    </w:p>
    <w:p w14:paraId="4FEB8C1A" w14:textId="77777777" w:rsidR="00B70040" w:rsidRPr="00D50DC2" w:rsidRDefault="00B70040" w:rsidP="001826B6">
      <w:pPr>
        <w:tabs>
          <w:tab w:val="left" w:pos="360"/>
        </w:tabs>
        <w:ind w:right="-360"/>
        <w:rPr>
          <w:rFonts w:ascii="Times New Roman" w:hAnsi="Times New Roman" w:cs="Times New Roman"/>
        </w:rPr>
      </w:pPr>
    </w:p>
    <w:p w14:paraId="1A6A9644" w14:textId="0890BE8C" w:rsidR="00B70040" w:rsidRPr="00D50DC2" w:rsidRDefault="00A87577" w:rsidP="001826B6">
      <w:pPr>
        <w:tabs>
          <w:tab w:val="left" w:pos="360"/>
        </w:tabs>
        <w:ind w:right="-360"/>
        <w:rPr>
          <w:rFonts w:ascii="Times New Roman" w:hAnsi="Times New Roman" w:cs="Times New Roman"/>
        </w:rPr>
      </w:pPr>
      <w:r>
        <w:rPr>
          <w:rFonts w:ascii="Times New Roman" w:hAnsi="Times New Roman" w:cs="Times New Roman"/>
        </w:rPr>
        <w:t>•</w:t>
      </w:r>
      <w:r>
        <w:rPr>
          <w:rFonts w:ascii="Times New Roman" w:hAnsi="Times New Roman" w:cs="Times New Roman"/>
        </w:rPr>
        <w:tab/>
      </w:r>
      <w:r w:rsidR="00B70040" w:rsidRPr="00D50DC2">
        <w:rPr>
          <w:rFonts w:ascii="Times New Roman" w:hAnsi="Times New Roman" w:cs="Times New Roman"/>
        </w:rPr>
        <w:t>The wildfire risk at the Laboratory is increasing due to climate change</w:t>
      </w:r>
      <w:r w:rsidR="00D36F4C">
        <w:rPr>
          <w:rFonts w:ascii="Times New Roman" w:hAnsi="Times New Roman" w:cs="Times New Roman"/>
        </w:rPr>
        <w:t>,</w:t>
      </w:r>
      <w:r w:rsidR="00B70040" w:rsidRPr="00D50DC2">
        <w:rPr>
          <w:rFonts w:ascii="Times New Roman" w:hAnsi="Times New Roman" w:cs="Times New Roman"/>
        </w:rPr>
        <w:t xml:space="preserve"> occurring at rates that were not credited by DOE in the 2008 SWEIS. The effects of this accelerated change for human health and the environment require analysis in a new or supplemental SWEIS.  DOE must also analyze the risks to health and the environment of its demonstrated and systematic failure to implement wildfire mitigation and protection measures which DOE had previously relied upon to support its conclusion in the 2008 SWEIS that it could adequately manage the risks of wildfires. </w:t>
      </w:r>
    </w:p>
    <w:p w14:paraId="061379DC" w14:textId="77777777" w:rsidR="00B70040" w:rsidRPr="00D50DC2" w:rsidRDefault="00B70040" w:rsidP="001826B6">
      <w:pPr>
        <w:tabs>
          <w:tab w:val="left" w:pos="360"/>
        </w:tabs>
        <w:ind w:right="-360"/>
        <w:rPr>
          <w:rFonts w:ascii="Times New Roman" w:hAnsi="Times New Roman" w:cs="Times New Roman"/>
        </w:rPr>
      </w:pPr>
    </w:p>
    <w:p w14:paraId="3436A784" w14:textId="2D83603A" w:rsidR="00B70040" w:rsidRPr="00D50DC2" w:rsidRDefault="00A87577" w:rsidP="001826B6">
      <w:pPr>
        <w:tabs>
          <w:tab w:val="left" w:pos="360"/>
        </w:tabs>
        <w:ind w:right="-360"/>
        <w:rPr>
          <w:rFonts w:ascii="Times New Roman" w:hAnsi="Times New Roman" w:cs="Times New Roman"/>
        </w:rPr>
      </w:pPr>
      <w:r>
        <w:rPr>
          <w:rFonts w:ascii="Times New Roman" w:hAnsi="Times New Roman" w:cs="Times New Roman"/>
        </w:rPr>
        <w:t>•</w:t>
      </w:r>
      <w:r>
        <w:rPr>
          <w:rFonts w:ascii="Times New Roman" w:hAnsi="Times New Roman" w:cs="Times New Roman"/>
        </w:rPr>
        <w:tab/>
      </w:r>
      <w:r w:rsidR="00B70040" w:rsidRPr="00D50DC2">
        <w:rPr>
          <w:rFonts w:ascii="Times New Roman" w:hAnsi="Times New Roman" w:cs="Times New Roman"/>
        </w:rPr>
        <w:t>The legal framework and timetable for cleanup of "legacy" hazardous and mixed waste pollution from LANL operations has drastically changed, with most contaminated area</w:t>
      </w:r>
      <w:r w:rsidR="002F2064">
        <w:rPr>
          <w:rFonts w:ascii="Times New Roman" w:hAnsi="Times New Roman" w:cs="Times New Roman"/>
        </w:rPr>
        <w:t>s</w:t>
      </w:r>
      <w:r w:rsidR="00B70040" w:rsidRPr="00D50DC2">
        <w:rPr>
          <w:rFonts w:ascii="Times New Roman" w:hAnsi="Times New Roman" w:cs="Times New Roman"/>
        </w:rPr>
        <w:t xml:space="preserve">' cleanup times going from no later than 2016 to no mandated deadline at all, and with DOE estimates for actual cleanup extending beyond 2036.  Yet no analysis has been performed of the additional health risks and environmental consequences of ignoring these contaminants for an additional 20+ years.  </w:t>
      </w:r>
    </w:p>
    <w:p w14:paraId="2FC54E71" w14:textId="77777777" w:rsidR="00B70040" w:rsidRPr="00D50DC2" w:rsidRDefault="00B70040" w:rsidP="001826B6">
      <w:pPr>
        <w:tabs>
          <w:tab w:val="left" w:pos="360"/>
        </w:tabs>
        <w:ind w:right="-360"/>
        <w:rPr>
          <w:rFonts w:ascii="Times New Roman" w:hAnsi="Times New Roman" w:cs="Times New Roman"/>
        </w:rPr>
      </w:pPr>
    </w:p>
    <w:p w14:paraId="3F5F1693" w14:textId="5310D58C" w:rsidR="00B70040" w:rsidRDefault="00A87577" w:rsidP="001826B6">
      <w:pPr>
        <w:tabs>
          <w:tab w:val="left" w:pos="360"/>
        </w:tabs>
        <w:ind w:right="-360"/>
        <w:rPr>
          <w:rFonts w:ascii="Times New Roman" w:hAnsi="Times New Roman" w:cs="Times New Roman"/>
        </w:rPr>
      </w:pPr>
      <w:r>
        <w:rPr>
          <w:rFonts w:ascii="Times New Roman" w:hAnsi="Times New Roman" w:cs="Times New Roman"/>
        </w:rPr>
        <w:t>•</w:t>
      </w:r>
      <w:r>
        <w:rPr>
          <w:rFonts w:ascii="Times New Roman" w:hAnsi="Times New Roman" w:cs="Times New Roman"/>
        </w:rPr>
        <w:tab/>
      </w:r>
      <w:r w:rsidR="00B70040" w:rsidRPr="00D50DC2">
        <w:rPr>
          <w:rFonts w:ascii="Times New Roman" w:hAnsi="Times New Roman" w:cs="Times New Roman"/>
        </w:rPr>
        <w:t xml:space="preserve">Further, the 2008 LANL SWEIS heavily relied upon the 2005 Consent Order negotiated with the New Mexico Environment Department (NMED). However, NMED has since sued DOE to terminate the revised 2016 Consent Order, thereby putting DOE’s reliance upon it in serious jeopardy. </w:t>
      </w:r>
      <w:r w:rsidR="00D36F4C">
        <w:rPr>
          <w:rFonts w:ascii="Times New Roman" w:hAnsi="Times New Roman" w:cs="Times New Roman"/>
        </w:rPr>
        <w:t>In addition</w:t>
      </w:r>
      <w:r w:rsidR="00B70040" w:rsidRPr="00D50DC2">
        <w:rPr>
          <w:rFonts w:ascii="Times New Roman" w:hAnsi="Times New Roman" w:cs="Times New Roman"/>
        </w:rPr>
        <w:t xml:space="preserve">, the 2008 SWEIS did not substantively address what has since become recognized as the most serious and immediate environmental threat, which is hexavalent </w:t>
      </w:r>
      <w:r w:rsidR="00D50532">
        <w:rPr>
          <w:rFonts w:ascii="Times New Roman" w:hAnsi="Times New Roman" w:cs="Times New Roman"/>
        </w:rPr>
        <w:t xml:space="preserve">chromium </w:t>
      </w:r>
      <w:r w:rsidR="00B70040" w:rsidRPr="00D50DC2">
        <w:rPr>
          <w:rFonts w:ascii="Times New Roman" w:hAnsi="Times New Roman" w:cs="Times New Roman"/>
        </w:rPr>
        <w:t xml:space="preserve">contamination of the regional aquifer. </w:t>
      </w:r>
      <w:r w:rsidR="002F2064">
        <w:rPr>
          <w:rFonts w:ascii="Times New Roman" w:hAnsi="Times New Roman" w:cs="Times New Roman"/>
        </w:rPr>
        <w:t>The</w:t>
      </w:r>
      <w:r w:rsidR="00B70040" w:rsidRPr="00D50DC2">
        <w:rPr>
          <w:rFonts w:ascii="Times New Roman" w:hAnsi="Times New Roman" w:cs="Times New Roman"/>
        </w:rPr>
        <w:t xml:space="preserve"> new SWEIS </w:t>
      </w:r>
      <w:r w:rsidR="002F2064">
        <w:rPr>
          <w:rFonts w:ascii="Times New Roman" w:hAnsi="Times New Roman" w:cs="Times New Roman"/>
        </w:rPr>
        <w:t>must</w:t>
      </w:r>
      <w:r w:rsidR="00B70040" w:rsidRPr="00D50DC2">
        <w:rPr>
          <w:rFonts w:ascii="Times New Roman" w:hAnsi="Times New Roman" w:cs="Times New Roman"/>
        </w:rPr>
        <w:t xml:space="preserve"> address all of these cleanup issues.</w:t>
      </w:r>
    </w:p>
    <w:p w14:paraId="41B3E9E9" w14:textId="2E216BF5" w:rsidR="004C7FBF" w:rsidRDefault="004C7FBF" w:rsidP="001826B6">
      <w:pPr>
        <w:tabs>
          <w:tab w:val="left" w:pos="360"/>
        </w:tabs>
        <w:ind w:right="-360"/>
        <w:rPr>
          <w:rFonts w:ascii="Times New Roman" w:hAnsi="Times New Roman" w:cs="Times New Roman"/>
        </w:rPr>
      </w:pPr>
    </w:p>
    <w:p w14:paraId="53376773" w14:textId="7D8ECFAF" w:rsidR="004C7FBF" w:rsidRDefault="004C7FBF" w:rsidP="001826B6">
      <w:pPr>
        <w:tabs>
          <w:tab w:val="left" w:pos="360"/>
        </w:tabs>
        <w:ind w:right="-360"/>
        <w:rPr>
          <w:rFonts w:ascii="Times New Roman" w:hAnsi="Times New Roman" w:cs="Times New Roman"/>
        </w:rPr>
      </w:pPr>
      <w:r>
        <w:rPr>
          <w:rFonts w:ascii="Times New Roman" w:hAnsi="Times New Roman" w:cs="Times New Roman"/>
        </w:rPr>
        <w:t>•</w:t>
      </w:r>
      <w:r>
        <w:rPr>
          <w:rFonts w:ascii="Times New Roman" w:hAnsi="Times New Roman" w:cs="Times New Roman"/>
        </w:rPr>
        <w:tab/>
        <w:t xml:space="preserve">“Cleanup” needs to be defined. LANL plans to “cap and cover” some 200,000 cubic yards of radioactive and toxic wastes </w:t>
      </w:r>
      <w:r w:rsidR="00C51D3C">
        <w:rPr>
          <w:rFonts w:ascii="Times New Roman" w:hAnsi="Times New Roman" w:cs="Times New Roman"/>
        </w:rPr>
        <w:t xml:space="preserve">in unlined pits and trenches </w:t>
      </w:r>
      <w:r>
        <w:rPr>
          <w:rFonts w:ascii="Times New Roman" w:hAnsi="Times New Roman" w:cs="Times New Roman"/>
        </w:rPr>
        <w:t xml:space="preserve">and call </w:t>
      </w:r>
      <w:r w:rsidR="002F2064">
        <w:rPr>
          <w:rFonts w:ascii="Times New Roman" w:hAnsi="Times New Roman" w:cs="Times New Roman"/>
        </w:rPr>
        <w:t>it</w:t>
      </w:r>
      <w:r>
        <w:rPr>
          <w:rFonts w:ascii="Times New Roman" w:hAnsi="Times New Roman" w:cs="Times New Roman"/>
        </w:rPr>
        <w:t xml:space="preserve"> cleaned up. The permanent threat to groundwater must be analyzed. Comprehensive cleanup, including waste exhumation and proper treatment, must be analyzed</w:t>
      </w:r>
      <w:r w:rsidR="00D50532">
        <w:rPr>
          <w:rFonts w:ascii="Times New Roman" w:hAnsi="Times New Roman" w:cs="Times New Roman"/>
        </w:rPr>
        <w:t xml:space="preserve"> as a more than reasonable alternative</w:t>
      </w:r>
      <w:r>
        <w:rPr>
          <w:rFonts w:ascii="Times New Roman" w:hAnsi="Times New Roman" w:cs="Times New Roman"/>
        </w:rPr>
        <w:t>.</w:t>
      </w:r>
    </w:p>
    <w:p w14:paraId="6DCF7AE6" w14:textId="4BAAC76F" w:rsidR="00FA16F7" w:rsidRDefault="00FA16F7" w:rsidP="001826B6">
      <w:pPr>
        <w:tabs>
          <w:tab w:val="left" w:pos="360"/>
        </w:tabs>
        <w:ind w:right="-360"/>
        <w:rPr>
          <w:rFonts w:ascii="Times New Roman" w:hAnsi="Times New Roman" w:cs="Times New Roman"/>
        </w:rPr>
      </w:pPr>
    </w:p>
    <w:p w14:paraId="198B2BC6" w14:textId="52004528" w:rsidR="00FA16F7" w:rsidRPr="00FA16F7" w:rsidRDefault="00FA16F7" w:rsidP="001826B6">
      <w:pPr>
        <w:tabs>
          <w:tab w:val="left" w:pos="360"/>
        </w:tabs>
        <w:ind w:right="-360"/>
        <w:rPr>
          <w:rFonts w:ascii="Times New Roman" w:eastAsia="Times New Roman" w:hAnsi="Times New Roman" w:cs="Times New Roman"/>
          <w:lang w:eastAsia="en-US"/>
        </w:rPr>
      </w:pPr>
      <w:r>
        <w:rPr>
          <w:rFonts w:ascii="Times New Roman" w:hAnsi="Times New Roman" w:cs="Times New Roman"/>
        </w:rPr>
        <w:t>•</w:t>
      </w:r>
      <w:r>
        <w:rPr>
          <w:rFonts w:ascii="Times New Roman" w:hAnsi="Times New Roman" w:cs="Times New Roman"/>
        </w:rPr>
        <w:tab/>
        <w:t xml:space="preserve">The environmental and public health dangers of </w:t>
      </w:r>
      <w:r w:rsidRPr="00FA16F7">
        <w:rPr>
          <w:rFonts w:ascii="Times New Roman" w:eastAsia="Times New Roman" w:hAnsi="Times New Roman" w:cs="Times New Roman"/>
          <w:lang w:eastAsia="en-US"/>
        </w:rPr>
        <w:t>per- and polyfluoroalkyl substances</w:t>
      </w:r>
      <w:r>
        <w:rPr>
          <w:rFonts w:ascii="Times New Roman" w:eastAsia="Times New Roman" w:hAnsi="Times New Roman" w:cs="Times New Roman"/>
          <w:lang w:eastAsia="en-US"/>
        </w:rPr>
        <w:t xml:space="preserve">, or </w:t>
      </w:r>
      <w:r w:rsidRPr="00FA16F7">
        <w:rPr>
          <w:rFonts w:ascii="Times New Roman" w:eastAsia="Times New Roman" w:hAnsi="Times New Roman" w:cs="Times New Roman"/>
          <w:lang w:eastAsia="en-US"/>
        </w:rPr>
        <w:t>PFAS</w:t>
      </w:r>
      <w:r>
        <w:rPr>
          <w:rFonts w:ascii="Times New Roman" w:eastAsia="Times New Roman" w:hAnsi="Times New Roman" w:cs="Times New Roman"/>
          <w:lang w:eastAsia="en-US"/>
        </w:rPr>
        <w:t xml:space="preserve">, are being increasingly recognized and may be subject to future regulation. </w:t>
      </w:r>
      <w:r w:rsidR="00B417E1">
        <w:rPr>
          <w:rFonts w:ascii="Times New Roman" w:eastAsia="Times New Roman" w:hAnsi="Times New Roman" w:cs="Times New Roman"/>
          <w:lang w:eastAsia="en-US"/>
        </w:rPr>
        <w:t xml:space="preserve">The draft SWEIS should analyze </w:t>
      </w:r>
      <w:r w:rsidR="002F2064">
        <w:rPr>
          <w:rFonts w:ascii="Times New Roman" w:eastAsia="Times New Roman" w:hAnsi="Times New Roman" w:cs="Times New Roman"/>
          <w:lang w:eastAsia="en-US"/>
        </w:rPr>
        <w:t xml:space="preserve">and disclose </w:t>
      </w:r>
      <w:r w:rsidR="00D50532">
        <w:rPr>
          <w:rFonts w:ascii="Times New Roman" w:eastAsia="Times New Roman" w:hAnsi="Times New Roman" w:cs="Times New Roman"/>
          <w:lang w:eastAsia="en-US"/>
        </w:rPr>
        <w:t xml:space="preserve">what is likely extensive </w:t>
      </w:r>
      <w:r w:rsidR="00B417E1">
        <w:rPr>
          <w:rFonts w:ascii="Times New Roman" w:eastAsia="Times New Roman" w:hAnsi="Times New Roman" w:cs="Times New Roman"/>
          <w:lang w:eastAsia="en-US"/>
        </w:rPr>
        <w:t xml:space="preserve">PFAS contamination at the Lab. </w:t>
      </w:r>
    </w:p>
    <w:p w14:paraId="3DF1D0DB" w14:textId="77777777" w:rsidR="00B70040" w:rsidRPr="00D50DC2" w:rsidRDefault="00B70040" w:rsidP="001826B6">
      <w:pPr>
        <w:tabs>
          <w:tab w:val="left" w:pos="360"/>
        </w:tabs>
        <w:ind w:right="-360"/>
        <w:rPr>
          <w:rFonts w:ascii="Times New Roman" w:hAnsi="Times New Roman" w:cs="Times New Roman"/>
        </w:rPr>
      </w:pPr>
    </w:p>
    <w:p w14:paraId="00E63808" w14:textId="32C9AB81" w:rsidR="00B70040" w:rsidRPr="00D50DC2" w:rsidRDefault="00A87577" w:rsidP="001826B6">
      <w:pPr>
        <w:tabs>
          <w:tab w:val="left" w:pos="360"/>
        </w:tabs>
        <w:ind w:right="-360"/>
        <w:rPr>
          <w:rFonts w:ascii="Times New Roman" w:hAnsi="Times New Roman" w:cs="Times New Roman"/>
        </w:rPr>
      </w:pPr>
      <w:r>
        <w:rPr>
          <w:rFonts w:ascii="Times New Roman" w:hAnsi="Times New Roman" w:cs="Times New Roman"/>
        </w:rPr>
        <w:t>•</w:t>
      </w:r>
      <w:r>
        <w:rPr>
          <w:rFonts w:ascii="Times New Roman" w:hAnsi="Times New Roman" w:cs="Times New Roman"/>
        </w:rPr>
        <w:tab/>
      </w:r>
      <w:r w:rsidR="00D50532">
        <w:rPr>
          <w:rFonts w:ascii="Times New Roman" w:hAnsi="Times New Roman" w:cs="Times New Roman"/>
        </w:rPr>
        <w:t>I</w:t>
      </w:r>
      <w:r w:rsidR="00B70040" w:rsidRPr="00D50DC2">
        <w:rPr>
          <w:rFonts w:ascii="Times New Roman" w:hAnsi="Times New Roman" w:cs="Times New Roman"/>
        </w:rPr>
        <w:t xml:space="preserve">n the 2008 SWEIS and 2020 Supplement Analysis </w:t>
      </w:r>
      <w:r w:rsidR="00D50532" w:rsidRPr="00D50DC2">
        <w:rPr>
          <w:rFonts w:ascii="Times New Roman" w:hAnsi="Times New Roman" w:cs="Times New Roman"/>
        </w:rPr>
        <w:t xml:space="preserve">DOE specifically relied </w:t>
      </w:r>
      <w:r w:rsidR="00B70040" w:rsidRPr="00D50DC2">
        <w:rPr>
          <w:rFonts w:ascii="Times New Roman" w:hAnsi="Times New Roman" w:cs="Times New Roman"/>
        </w:rPr>
        <w:t>upon the assertion that the Waste Isolation Pilot Plant</w:t>
      </w:r>
      <w:r w:rsidR="00D50532">
        <w:rPr>
          <w:rFonts w:ascii="Times New Roman" w:hAnsi="Times New Roman" w:cs="Times New Roman"/>
        </w:rPr>
        <w:t xml:space="preserve"> </w:t>
      </w:r>
      <w:r w:rsidR="00B70040" w:rsidRPr="00D50DC2">
        <w:rPr>
          <w:rFonts w:ascii="Times New Roman" w:hAnsi="Times New Roman" w:cs="Times New Roman"/>
        </w:rPr>
        <w:t xml:space="preserve">will be available as a disposal site for all of the Laboratory’s </w:t>
      </w:r>
      <w:r w:rsidR="00835DA9">
        <w:rPr>
          <w:rFonts w:ascii="Times New Roman" w:hAnsi="Times New Roman" w:cs="Times New Roman"/>
        </w:rPr>
        <w:t xml:space="preserve">radioactive </w:t>
      </w:r>
      <w:r w:rsidR="00B70040" w:rsidRPr="00D50DC2">
        <w:rPr>
          <w:rFonts w:ascii="Times New Roman" w:hAnsi="Times New Roman" w:cs="Times New Roman"/>
        </w:rPr>
        <w:t xml:space="preserve">transuranic wastes, including the greatly increased plutonium waste streams that expanded pit production will </w:t>
      </w:r>
      <w:r w:rsidR="002F2064">
        <w:rPr>
          <w:rFonts w:ascii="Times New Roman" w:hAnsi="Times New Roman" w:cs="Times New Roman"/>
        </w:rPr>
        <w:t>inevitably</w:t>
      </w:r>
      <w:r w:rsidR="00B70040" w:rsidRPr="00D50DC2">
        <w:rPr>
          <w:rFonts w:ascii="Times New Roman" w:hAnsi="Times New Roman" w:cs="Times New Roman"/>
        </w:rPr>
        <w:t xml:space="preserve"> produce. This assumption is inconsistent with existing facts (for example, as reported by the National Academy of Sciences)</w:t>
      </w:r>
      <w:r w:rsidR="00D50532">
        <w:rPr>
          <w:rFonts w:ascii="Times New Roman" w:hAnsi="Times New Roman" w:cs="Times New Roman"/>
        </w:rPr>
        <w:t>, therefore</w:t>
      </w:r>
      <w:r w:rsidR="00B70040" w:rsidRPr="00D50DC2">
        <w:rPr>
          <w:rFonts w:ascii="Times New Roman" w:hAnsi="Times New Roman" w:cs="Times New Roman"/>
        </w:rPr>
        <w:t xml:space="preserve"> DOE's reliance upon it lacks a legal foundation. Further, LANL’s poor waste management practices led to a ruptured drum that closed WIPP for nearly three years, costing the American taxpayer some $2 billion dollars to reopen in a still constrained fashion. </w:t>
      </w:r>
      <w:r w:rsidR="00D50532">
        <w:rPr>
          <w:rFonts w:ascii="Times New Roman" w:hAnsi="Times New Roman" w:cs="Times New Roman"/>
        </w:rPr>
        <w:t>The new</w:t>
      </w:r>
      <w:r w:rsidR="00B70040" w:rsidRPr="00D50DC2">
        <w:rPr>
          <w:rFonts w:ascii="Times New Roman" w:hAnsi="Times New Roman" w:cs="Times New Roman"/>
        </w:rPr>
        <w:t xml:space="preserve"> SWEIS </w:t>
      </w:r>
      <w:r w:rsidR="00D50532">
        <w:rPr>
          <w:rFonts w:ascii="Times New Roman" w:hAnsi="Times New Roman" w:cs="Times New Roman"/>
        </w:rPr>
        <w:t>must</w:t>
      </w:r>
      <w:r w:rsidR="00B70040" w:rsidRPr="00D50DC2">
        <w:rPr>
          <w:rFonts w:ascii="Times New Roman" w:hAnsi="Times New Roman" w:cs="Times New Roman"/>
        </w:rPr>
        <w:t xml:space="preserve"> address these and other radioactive and hazardous waste issues.</w:t>
      </w:r>
    </w:p>
    <w:p w14:paraId="1B002F8C" w14:textId="77777777" w:rsidR="00B70040" w:rsidRPr="00D50DC2" w:rsidRDefault="00B70040" w:rsidP="001826B6">
      <w:pPr>
        <w:tabs>
          <w:tab w:val="left" w:pos="360"/>
        </w:tabs>
        <w:ind w:right="-360"/>
        <w:rPr>
          <w:rFonts w:ascii="Times New Roman" w:hAnsi="Times New Roman" w:cs="Times New Roman"/>
          <w:b/>
          <w:bCs/>
        </w:rPr>
      </w:pPr>
    </w:p>
    <w:p w14:paraId="3395A438" w14:textId="12FA52AD" w:rsidR="00B70040" w:rsidRDefault="00835DA9" w:rsidP="001826B6">
      <w:pPr>
        <w:tabs>
          <w:tab w:val="left" w:pos="360"/>
        </w:tabs>
        <w:ind w:right="-360"/>
        <w:rPr>
          <w:rFonts w:ascii="Times New Roman" w:hAnsi="Times New Roman" w:cs="Times New Roman"/>
        </w:rPr>
      </w:pPr>
      <w:r>
        <w:rPr>
          <w:rFonts w:ascii="Times New Roman" w:hAnsi="Times New Roman" w:cs="Times New Roman"/>
          <w:b/>
          <w:bCs/>
        </w:rPr>
        <w:t>•</w:t>
      </w:r>
      <w:r>
        <w:rPr>
          <w:rFonts w:ascii="Times New Roman" w:hAnsi="Times New Roman" w:cs="Times New Roman"/>
          <w:b/>
          <w:bCs/>
        </w:rPr>
        <w:tab/>
      </w:r>
      <w:r w:rsidR="00B70040" w:rsidRPr="00D50DC2">
        <w:rPr>
          <w:rFonts w:ascii="Times New Roman" w:hAnsi="Times New Roman" w:cs="Times New Roman"/>
        </w:rPr>
        <w:t xml:space="preserve">The environmental effects of the contaminated runoff from Laboratory properties to the Rio Grande, and the increasing contamination of the regional aquifer, most notably with hexavalent chromium, were either inadequately considered or completely ignored in the 2008 SWEIS. Those facts, standing alone, would require a new or supplemental SWEIS, but the </w:t>
      </w:r>
      <w:r w:rsidR="00B70040" w:rsidRPr="00D50DC2">
        <w:rPr>
          <w:rFonts w:ascii="Times New Roman" w:hAnsi="Times New Roman" w:cs="Times New Roman"/>
        </w:rPr>
        <w:lastRenderedPageBreak/>
        <w:t>need is exacerbated by the fact the Buckman Direct Diversion Project (BDD) now diverts water from the Rio Grande to supply the City of Santa Fe and Santa Fe County. DOE has simply failed to consider the consequences of expanded Laboratory operations on that essential water supply and how LANL could minimize the intake of Laboratory contaminants at the BDD, particularly in time of low flow, or alternately during high-flow events that can transport contaminants.</w:t>
      </w:r>
    </w:p>
    <w:p w14:paraId="28427052" w14:textId="17DBB97B" w:rsidR="004C7FBF" w:rsidRDefault="004C7FBF" w:rsidP="001826B6">
      <w:pPr>
        <w:tabs>
          <w:tab w:val="left" w:pos="360"/>
        </w:tabs>
        <w:ind w:right="-360"/>
        <w:rPr>
          <w:rFonts w:ascii="Times New Roman" w:hAnsi="Times New Roman" w:cs="Times New Roman"/>
        </w:rPr>
      </w:pPr>
    </w:p>
    <w:p w14:paraId="6367664B" w14:textId="0DAD6466" w:rsidR="004C7FBF" w:rsidRDefault="004C7FBF" w:rsidP="001826B6">
      <w:pPr>
        <w:tabs>
          <w:tab w:val="left" w:pos="360"/>
        </w:tabs>
        <w:ind w:right="-360"/>
        <w:rPr>
          <w:rFonts w:ascii="Times New Roman" w:hAnsi="Times New Roman" w:cs="Times New Roman"/>
        </w:rPr>
      </w:pPr>
      <w:r>
        <w:rPr>
          <w:rFonts w:ascii="Times New Roman" w:hAnsi="Times New Roman" w:cs="Times New Roman"/>
        </w:rPr>
        <w:t>•</w:t>
      </w:r>
      <w:r>
        <w:rPr>
          <w:rFonts w:ascii="Times New Roman" w:hAnsi="Times New Roman" w:cs="Times New Roman"/>
        </w:rPr>
        <w:tab/>
        <w:t>A new SWEIS must analyze the planned demolition of the</w:t>
      </w:r>
      <w:r w:rsidR="00B239F7">
        <w:rPr>
          <w:rFonts w:ascii="Times New Roman" w:hAnsi="Times New Roman" w:cs="Times New Roman"/>
        </w:rPr>
        <w:t xml:space="preserve"> ~550,000 square feet </w:t>
      </w:r>
      <w:r>
        <w:rPr>
          <w:rFonts w:ascii="Times New Roman" w:hAnsi="Times New Roman" w:cs="Times New Roman"/>
        </w:rPr>
        <w:t xml:space="preserve">Chemistry and Metallurgy Research Building. What is the schedule and where will the </w:t>
      </w:r>
      <w:r w:rsidR="00B239F7">
        <w:rPr>
          <w:rFonts w:ascii="Times New Roman" w:hAnsi="Times New Roman" w:cs="Times New Roman"/>
        </w:rPr>
        <w:t xml:space="preserve">contaminated rubble </w:t>
      </w:r>
      <w:r>
        <w:rPr>
          <w:rFonts w:ascii="Times New Roman" w:hAnsi="Times New Roman" w:cs="Times New Roman"/>
        </w:rPr>
        <w:t>go?</w:t>
      </w:r>
    </w:p>
    <w:p w14:paraId="3A4AC292" w14:textId="61173181" w:rsidR="00F74239" w:rsidRDefault="00F74239" w:rsidP="001826B6">
      <w:pPr>
        <w:tabs>
          <w:tab w:val="left" w:pos="360"/>
        </w:tabs>
        <w:ind w:right="-360"/>
        <w:rPr>
          <w:rFonts w:ascii="Times New Roman" w:hAnsi="Times New Roman" w:cs="Times New Roman"/>
        </w:rPr>
      </w:pPr>
    </w:p>
    <w:p w14:paraId="51D3133B" w14:textId="6AC27458" w:rsidR="00F74239" w:rsidRDefault="00F74239" w:rsidP="001826B6">
      <w:pPr>
        <w:tabs>
          <w:tab w:val="left" w:pos="360"/>
        </w:tabs>
        <w:ind w:right="-360"/>
        <w:rPr>
          <w:rFonts w:ascii="Times New Roman" w:hAnsi="Times New Roman" w:cs="Times New Roman"/>
        </w:rPr>
      </w:pPr>
      <w:r>
        <w:rPr>
          <w:rFonts w:ascii="Times New Roman" w:hAnsi="Times New Roman" w:cs="Times New Roman"/>
        </w:rPr>
        <w:t>•</w:t>
      </w:r>
      <w:r>
        <w:rPr>
          <w:rFonts w:ascii="Times New Roman" w:hAnsi="Times New Roman" w:cs="Times New Roman"/>
        </w:rPr>
        <w:tab/>
        <w:t xml:space="preserve">The draft SWEIS must include analysis of the preservation of the </w:t>
      </w:r>
      <w:proofErr w:type="spellStart"/>
      <w:r>
        <w:rPr>
          <w:rFonts w:ascii="Times New Roman" w:hAnsi="Times New Roman" w:cs="Times New Roman"/>
        </w:rPr>
        <w:t>Caja</w:t>
      </w:r>
      <w:proofErr w:type="spellEnd"/>
      <w:r>
        <w:rPr>
          <w:rFonts w:ascii="Times New Roman" w:hAnsi="Times New Roman" w:cs="Times New Roman"/>
        </w:rPr>
        <w:t xml:space="preserve"> del Rio immediately to the east and south of the Lab. This includes any possible new electrical transmission lines and the idea of a new </w:t>
      </w:r>
      <w:r w:rsidR="00D50532">
        <w:rPr>
          <w:rFonts w:ascii="Times New Roman" w:hAnsi="Times New Roman" w:cs="Times New Roman"/>
        </w:rPr>
        <w:t xml:space="preserve">massive </w:t>
      </w:r>
      <w:r>
        <w:rPr>
          <w:rFonts w:ascii="Times New Roman" w:hAnsi="Times New Roman" w:cs="Times New Roman"/>
        </w:rPr>
        <w:t>bridge spanning White Rock Canyon that has be</w:t>
      </w:r>
      <w:r w:rsidR="00D50532">
        <w:rPr>
          <w:rFonts w:ascii="Times New Roman" w:hAnsi="Times New Roman" w:cs="Times New Roman"/>
        </w:rPr>
        <w:t>en</w:t>
      </w:r>
      <w:r>
        <w:rPr>
          <w:rFonts w:ascii="Times New Roman" w:hAnsi="Times New Roman" w:cs="Times New Roman"/>
        </w:rPr>
        <w:t xml:space="preserve"> floated a few times. </w:t>
      </w:r>
    </w:p>
    <w:p w14:paraId="40F632E7" w14:textId="400BA714" w:rsidR="00C51D3C" w:rsidRDefault="00C51D3C" w:rsidP="001826B6">
      <w:pPr>
        <w:tabs>
          <w:tab w:val="left" w:pos="360"/>
        </w:tabs>
        <w:ind w:right="-360"/>
        <w:rPr>
          <w:rFonts w:ascii="Times New Roman" w:hAnsi="Times New Roman" w:cs="Times New Roman"/>
        </w:rPr>
      </w:pPr>
    </w:p>
    <w:p w14:paraId="1A1577F8" w14:textId="0DB8DF76" w:rsidR="00C51D3C" w:rsidRDefault="00C51D3C" w:rsidP="001826B6">
      <w:pPr>
        <w:tabs>
          <w:tab w:val="left" w:pos="360"/>
        </w:tabs>
        <w:ind w:right="-360"/>
        <w:rPr>
          <w:rFonts w:ascii="Times New Roman" w:hAnsi="Times New Roman" w:cs="Times New Roman"/>
        </w:rPr>
      </w:pPr>
      <w:r>
        <w:rPr>
          <w:rFonts w:ascii="Times New Roman" w:hAnsi="Times New Roman" w:cs="Times New Roman"/>
        </w:rPr>
        <w:t>•</w:t>
      </w:r>
      <w:r>
        <w:rPr>
          <w:rFonts w:ascii="Times New Roman" w:hAnsi="Times New Roman" w:cs="Times New Roman"/>
        </w:rPr>
        <w:tab/>
        <w:t>The new SWEIS should contain updated seismic data and hazard analysis.</w:t>
      </w:r>
    </w:p>
    <w:p w14:paraId="0861796D" w14:textId="1E7C0FFC" w:rsidR="00C51D3C" w:rsidRDefault="00C51D3C" w:rsidP="001826B6">
      <w:pPr>
        <w:tabs>
          <w:tab w:val="left" w:pos="360"/>
        </w:tabs>
        <w:ind w:right="-360"/>
        <w:rPr>
          <w:rFonts w:ascii="Times New Roman" w:hAnsi="Times New Roman" w:cs="Times New Roman"/>
        </w:rPr>
      </w:pPr>
    </w:p>
    <w:p w14:paraId="187DF1AB" w14:textId="72893873" w:rsidR="00C51D3C" w:rsidRPr="00D50DC2" w:rsidRDefault="00C51D3C" w:rsidP="001826B6">
      <w:pPr>
        <w:tabs>
          <w:tab w:val="left" w:pos="360"/>
        </w:tabs>
        <w:ind w:right="-360"/>
        <w:rPr>
          <w:rFonts w:ascii="Times New Roman" w:hAnsi="Times New Roman" w:cs="Times New Roman"/>
        </w:rPr>
      </w:pPr>
      <w:r>
        <w:rPr>
          <w:rFonts w:ascii="Times New Roman" w:hAnsi="Times New Roman" w:cs="Times New Roman"/>
        </w:rPr>
        <w:t>•</w:t>
      </w:r>
      <w:r>
        <w:rPr>
          <w:rFonts w:ascii="Times New Roman" w:hAnsi="Times New Roman" w:cs="Times New Roman"/>
        </w:rPr>
        <w:tab/>
        <w:t>The new SWEIS should certify that all facility safety bases are complete and up to date.</w:t>
      </w:r>
    </w:p>
    <w:p w14:paraId="5BDCE64A" w14:textId="1C81C4A1" w:rsidR="00B70040" w:rsidRDefault="00B70040" w:rsidP="001826B6">
      <w:pPr>
        <w:tabs>
          <w:tab w:val="left" w:pos="360"/>
        </w:tabs>
        <w:ind w:left="720" w:right="-360"/>
        <w:rPr>
          <w:rFonts w:ascii="Times New Roman" w:hAnsi="Times New Roman" w:cs="Times New Roman"/>
        </w:rPr>
      </w:pPr>
    </w:p>
    <w:p w14:paraId="538DDC74" w14:textId="46CC01B7" w:rsidR="002F2A0C" w:rsidRDefault="00835DA9" w:rsidP="001826B6">
      <w:pPr>
        <w:tabs>
          <w:tab w:val="left" w:pos="360"/>
        </w:tabs>
        <w:ind w:right="-360"/>
        <w:rPr>
          <w:rFonts w:ascii="Times New Roman" w:hAnsi="Times New Roman" w:cs="Times New Roman"/>
        </w:rPr>
      </w:pPr>
      <w:r w:rsidRPr="00835DA9">
        <w:rPr>
          <w:rFonts w:ascii="Times New Roman" w:hAnsi="Times New Roman" w:cs="Times New Roman"/>
        </w:rPr>
        <w:t>•</w:t>
      </w:r>
      <w:r w:rsidRPr="00835DA9">
        <w:rPr>
          <w:rFonts w:ascii="Times New Roman" w:hAnsi="Times New Roman" w:cs="Times New Roman"/>
        </w:rPr>
        <w:tab/>
        <w:t>Environmental justice issues stemming from increased pit production have been inadequately considered. As NNSA’s 2020 LANL SWEIS Supplement Analysis documents, the population within the Laboratory’s 50-mile radius “Region of Influence” is 68% minority. NNSA’s plan to expand production both in total number of plutonium pits and increased radioactive and hazardous wastes along with significant safety and health concerns will saddle already-burdened communities with increased risks, which is in complete contravention to the President’s Executive Order on Environmental Justice.</w:t>
      </w:r>
      <w:r w:rsidR="00C51D3C">
        <w:rPr>
          <w:rFonts w:ascii="Times New Roman" w:hAnsi="Times New Roman" w:cs="Times New Roman"/>
        </w:rPr>
        <w:t xml:space="preserve"> Further, the new SWEIS should analyze the return of land to the San Ildefonso and Santa Clara Pueblos.</w:t>
      </w:r>
    </w:p>
    <w:p w14:paraId="5F167F15" w14:textId="7D1634AC" w:rsidR="001A5E8A" w:rsidRDefault="001A5E8A" w:rsidP="001826B6">
      <w:pPr>
        <w:tabs>
          <w:tab w:val="left" w:pos="360"/>
        </w:tabs>
        <w:ind w:right="-360"/>
        <w:rPr>
          <w:rFonts w:ascii="Times New Roman" w:hAnsi="Times New Roman" w:cs="Times New Roman"/>
        </w:rPr>
      </w:pPr>
    </w:p>
    <w:p w14:paraId="57EFA7D7" w14:textId="4E49C575" w:rsidR="001A5E8A" w:rsidRDefault="001A5E8A" w:rsidP="001826B6">
      <w:pPr>
        <w:tabs>
          <w:tab w:val="left" w:pos="360"/>
        </w:tabs>
        <w:ind w:right="-360"/>
        <w:rPr>
          <w:rFonts w:ascii="Times New Roman" w:hAnsi="Times New Roman" w:cs="Times New Roman"/>
        </w:rPr>
      </w:pPr>
      <w:r>
        <w:rPr>
          <w:rFonts w:ascii="Times New Roman" w:hAnsi="Times New Roman" w:cs="Times New Roman"/>
        </w:rPr>
        <w:t xml:space="preserve">To summarize, first NNSA should complete a new nation-wide programmatic environmental impact statement on expanded plutonium pit production. A new LANL Site-Wide Environmental Impact Statement should then be “tiered” off of that document </w:t>
      </w:r>
      <w:r w:rsidR="00A151E5">
        <w:rPr>
          <w:rFonts w:ascii="Times New Roman" w:hAnsi="Times New Roman" w:cs="Times New Roman"/>
        </w:rPr>
        <w:t xml:space="preserve">and address all </w:t>
      </w:r>
      <w:r w:rsidR="00AC46C0">
        <w:rPr>
          <w:rFonts w:ascii="Times New Roman" w:hAnsi="Times New Roman" w:cs="Times New Roman"/>
        </w:rPr>
        <w:t xml:space="preserve">of </w:t>
      </w:r>
      <w:r w:rsidR="00A151E5">
        <w:rPr>
          <w:rFonts w:ascii="Times New Roman" w:hAnsi="Times New Roman" w:cs="Times New Roman"/>
        </w:rPr>
        <w:t xml:space="preserve">these issues outlined in these scoping comments, and in particular the site-specific impacts of expanded plutonium pit production. </w:t>
      </w:r>
      <w:r w:rsidR="000259E5">
        <w:rPr>
          <w:rFonts w:ascii="Times New Roman" w:hAnsi="Times New Roman" w:cs="Times New Roman"/>
        </w:rPr>
        <w:t xml:space="preserve">In the event that NNSA continues its </w:t>
      </w:r>
      <w:r w:rsidR="003102B0">
        <w:rPr>
          <w:rFonts w:ascii="Times New Roman" w:hAnsi="Times New Roman" w:cs="Times New Roman"/>
        </w:rPr>
        <w:t>arguably illegal behavior in not completing a new PEIS, a new LANL SWEIS should nevertheless analyze the issues outline</w:t>
      </w:r>
      <w:r w:rsidR="009666B8">
        <w:rPr>
          <w:rFonts w:ascii="Times New Roman" w:hAnsi="Times New Roman" w:cs="Times New Roman"/>
        </w:rPr>
        <w:t xml:space="preserve">d </w:t>
      </w:r>
      <w:r w:rsidR="003102B0">
        <w:rPr>
          <w:rFonts w:ascii="Times New Roman" w:hAnsi="Times New Roman" w:cs="Times New Roman"/>
        </w:rPr>
        <w:t xml:space="preserve">in these scoping comments, particularly expanded plutonium pit production. </w:t>
      </w:r>
    </w:p>
    <w:p w14:paraId="1A3614CA" w14:textId="27C84BEC" w:rsidR="0024127E" w:rsidRDefault="0024127E" w:rsidP="001826B6">
      <w:pPr>
        <w:tabs>
          <w:tab w:val="left" w:pos="360"/>
        </w:tabs>
        <w:ind w:right="-360"/>
        <w:rPr>
          <w:rFonts w:ascii="Times New Roman" w:hAnsi="Times New Roman" w:cs="Times New Roman"/>
        </w:rPr>
      </w:pPr>
    </w:p>
    <w:p w14:paraId="4A155B99" w14:textId="0EEBA1C8" w:rsidR="0024127E" w:rsidRDefault="0024127E" w:rsidP="001826B6">
      <w:pPr>
        <w:tabs>
          <w:tab w:val="left" w:pos="360"/>
        </w:tabs>
        <w:ind w:left="5040" w:right="-360"/>
        <w:rPr>
          <w:rFonts w:ascii="Times New Roman" w:hAnsi="Times New Roman" w:cs="Times New Roman"/>
        </w:rPr>
      </w:pPr>
      <w:r>
        <w:rPr>
          <w:rFonts w:ascii="Times New Roman" w:hAnsi="Times New Roman" w:cs="Times New Roman"/>
        </w:rPr>
        <w:t xml:space="preserve">Sincerely, </w:t>
      </w:r>
    </w:p>
    <w:p w14:paraId="00AA2790" w14:textId="1ABC71BE" w:rsidR="0024127E" w:rsidRDefault="0024127E" w:rsidP="001826B6">
      <w:pPr>
        <w:tabs>
          <w:tab w:val="left" w:pos="360"/>
        </w:tabs>
        <w:ind w:left="5040" w:right="-360"/>
        <w:rPr>
          <w:rFonts w:ascii="Times New Roman" w:hAnsi="Times New Roman" w:cs="Times New Roman"/>
        </w:rPr>
      </w:pPr>
    </w:p>
    <w:p w14:paraId="4A6442DE" w14:textId="3CFF7DA9" w:rsidR="0024127E" w:rsidRDefault="0024127E" w:rsidP="001826B6">
      <w:pPr>
        <w:tabs>
          <w:tab w:val="left" w:pos="360"/>
        </w:tabs>
        <w:ind w:left="5040" w:right="-360"/>
        <w:rPr>
          <w:rFonts w:ascii="Times New Roman" w:hAnsi="Times New Roman" w:cs="Times New Roman"/>
        </w:rPr>
      </w:pPr>
      <w:r>
        <w:rPr>
          <w:rFonts w:ascii="Times New Roman" w:hAnsi="Times New Roman" w:cs="Times New Roman"/>
        </w:rPr>
        <w:t>[name]</w:t>
      </w:r>
    </w:p>
    <w:p w14:paraId="3084982F" w14:textId="067C2B40" w:rsidR="0024127E" w:rsidRPr="00835DA9" w:rsidRDefault="0024127E" w:rsidP="001826B6">
      <w:pPr>
        <w:tabs>
          <w:tab w:val="left" w:pos="360"/>
        </w:tabs>
        <w:ind w:left="5040" w:right="-360"/>
        <w:rPr>
          <w:rFonts w:ascii="Times New Roman" w:hAnsi="Times New Roman" w:cs="Times New Roman"/>
        </w:rPr>
      </w:pPr>
      <w:r>
        <w:rPr>
          <w:rFonts w:ascii="Times New Roman" w:hAnsi="Times New Roman" w:cs="Times New Roman"/>
        </w:rPr>
        <w:t>[City or Town, State]</w:t>
      </w:r>
    </w:p>
    <w:p w14:paraId="6493EA53" w14:textId="77777777" w:rsidR="0024127E" w:rsidRPr="00835DA9" w:rsidRDefault="0024127E" w:rsidP="001826B6">
      <w:pPr>
        <w:tabs>
          <w:tab w:val="left" w:pos="360"/>
        </w:tabs>
        <w:ind w:left="5040" w:right="-360"/>
        <w:rPr>
          <w:rFonts w:ascii="Times New Roman" w:hAnsi="Times New Roman" w:cs="Times New Roman"/>
        </w:rPr>
      </w:pPr>
    </w:p>
    <w:p w14:paraId="6A9E0845" w14:textId="77777777" w:rsidR="001826B6" w:rsidRPr="00835DA9" w:rsidRDefault="001826B6">
      <w:pPr>
        <w:tabs>
          <w:tab w:val="left" w:pos="360"/>
        </w:tabs>
        <w:ind w:left="5040" w:right="-360"/>
        <w:rPr>
          <w:rFonts w:ascii="Times New Roman" w:hAnsi="Times New Roman" w:cs="Times New Roman"/>
        </w:rPr>
      </w:pPr>
    </w:p>
    <w:sectPr w:rsidR="001826B6" w:rsidRPr="00835DA9" w:rsidSect="00A01AD1">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080" w:right="1800" w:bottom="1008"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8236FA" w14:textId="77777777" w:rsidR="00FF2A68" w:rsidRDefault="00FF2A68" w:rsidP="00BF697B">
      <w:r>
        <w:separator/>
      </w:r>
    </w:p>
  </w:endnote>
  <w:endnote w:type="continuationSeparator" w:id="0">
    <w:p w14:paraId="545FA97F" w14:textId="77777777" w:rsidR="00FF2A68" w:rsidRDefault="00FF2A68" w:rsidP="00BF69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32799057"/>
      <w:docPartObj>
        <w:docPartGallery w:val="Page Numbers (Bottom of Page)"/>
        <w:docPartUnique/>
      </w:docPartObj>
    </w:sdtPr>
    <w:sdtEndPr>
      <w:rPr>
        <w:rStyle w:val="PageNumber"/>
      </w:rPr>
    </w:sdtEndPr>
    <w:sdtContent>
      <w:p w14:paraId="7B089311" w14:textId="56422AA6" w:rsidR="00D50DC2" w:rsidRDefault="00D50DC2" w:rsidP="00D50DC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D3A841F" w14:textId="77777777" w:rsidR="00D50DC2" w:rsidRDefault="00D50DC2" w:rsidP="00417A9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8C9113" w14:textId="4AB6891B" w:rsidR="00D50DC2" w:rsidRPr="00B54B05" w:rsidRDefault="00D50DC2" w:rsidP="00417A9F">
    <w:pPr>
      <w:pStyle w:val="Footer"/>
      <w:tabs>
        <w:tab w:val="clear" w:pos="8640"/>
      </w:tabs>
      <w:ind w:right="360"/>
      <w:jc w:val="center"/>
      <w:rPr>
        <w:rFonts w:ascii="Times New Roman" w:hAnsi="Times New Roman" w:cs="Times New Roman"/>
        <w:b/>
        <w:bCs/>
        <w:i/>
        <w:iCs/>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F6C956" w14:textId="4F0BC03E" w:rsidR="00D50DC2" w:rsidRPr="00A01AD1" w:rsidRDefault="00D50DC2" w:rsidP="00A01AD1">
    <w:pPr>
      <w:pStyle w:val="Footer"/>
      <w:tabs>
        <w:tab w:val="clear" w:pos="8640"/>
      </w:tabs>
      <w:ind w:right="-720"/>
      <w:jc w:val="center"/>
      <w:rPr>
        <w:b/>
        <w:i/>
        <w:sz w:val="20"/>
        <w:szCs w:val="20"/>
      </w:rPr>
    </w:pPr>
    <w:bookmarkStart w:id="0" w:name="_GoBack"/>
    <w:bookmarkEnd w:id="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C4CC00" w14:textId="77777777" w:rsidR="00FF2A68" w:rsidRDefault="00FF2A68" w:rsidP="00BF697B">
      <w:r>
        <w:separator/>
      </w:r>
    </w:p>
  </w:footnote>
  <w:footnote w:type="continuationSeparator" w:id="0">
    <w:p w14:paraId="4434A412" w14:textId="77777777" w:rsidR="00FF2A68" w:rsidRDefault="00FF2A68" w:rsidP="00BF697B">
      <w:r>
        <w:continuationSeparator/>
      </w:r>
    </w:p>
  </w:footnote>
  <w:footnote w:id="1">
    <w:p w14:paraId="664AFBAA" w14:textId="24713466" w:rsidR="00835A9D" w:rsidRPr="002F2A0C" w:rsidRDefault="00835A9D" w:rsidP="00C97325">
      <w:pPr>
        <w:pStyle w:val="FootnoteText"/>
        <w:tabs>
          <w:tab w:val="left" w:pos="360"/>
        </w:tabs>
        <w:ind w:right="-360"/>
        <w:rPr>
          <w:rFonts w:ascii="Times New Roman" w:hAnsi="Times New Roman" w:cs="Times New Roman"/>
          <w:b/>
          <w:bCs/>
        </w:rPr>
      </w:pPr>
      <w:r w:rsidRPr="002F2A0C">
        <w:rPr>
          <w:rStyle w:val="FootnoteReference"/>
          <w:rFonts w:ascii="Times New Roman" w:hAnsi="Times New Roman" w:cs="Times New Roman"/>
        </w:rPr>
        <w:footnoteRef/>
      </w:r>
      <w:r w:rsidRPr="002F2A0C">
        <w:rPr>
          <w:rFonts w:ascii="Times New Roman" w:hAnsi="Times New Roman" w:cs="Times New Roman"/>
        </w:rPr>
        <w:t xml:space="preserve"> </w:t>
      </w:r>
      <w:r w:rsidRPr="002F2A0C">
        <w:rPr>
          <w:rFonts w:ascii="Times New Roman" w:hAnsi="Times New Roman" w:cs="Times New Roman"/>
        </w:rPr>
        <w:tab/>
        <w:t xml:space="preserve">See NNSA’s August 19, 2022 </w:t>
      </w:r>
      <w:r w:rsidRPr="002F2A0C">
        <w:rPr>
          <w:rFonts w:ascii="Times New Roman" w:hAnsi="Times New Roman" w:cs="Times New Roman"/>
          <w:i/>
          <w:iCs/>
        </w:rPr>
        <w:t>Notice of Intent To Prepare a Site-Wide Environmental Impact Statement for Continued Operation of the Los Alamos National Laboratory</w:t>
      </w:r>
      <w:r w:rsidRPr="002F2A0C">
        <w:rPr>
          <w:rFonts w:ascii="Times New Roman" w:hAnsi="Times New Roman" w:cs="Times New Roman"/>
          <w:b/>
          <w:bCs/>
        </w:rPr>
        <w:t xml:space="preserve"> </w:t>
      </w:r>
      <w:r w:rsidRPr="002F2A0C">
        <w:rPr>
          <w:rFonts w:ascii="Times New Roman" w:hAnsi="Times New Roman" w:cs="Times New Roman"/>
        </w:rPr>
        <w:t xml:space="preserve">at </w:t>
      </w:r>
      <w:hyperlink r:id="rId1" w:history="1">
        <w:r w:rsidRPr="002F2A0C">
          <w:rPr>
            <w:rStyle w:val="Hyperlink"/>
            <w:rFonts w:ascii="Times New Roman" w:hAnsi="Times New Roman" w:cs="Times New Roman"/>
          </w:rPr>
          <w:t>https://www.federalregister.gov/documents/2022/08/19/2022-17901/notice-of-intent-to-prepare-a-site-wide-environmental-impact-statement-for-continued-operation-of</w:t>
        </w:r>
      </w:hyperlink>
    </w:p>
    <w:p w14:paraId="3B8D41E7" w14:textId="1A55A522" w:rsidR="00835A9D" w:rsidRPr="002F2A0C" w:rsidRDefault="003C34C5" w:rsidP="00C97325">
      <w:pPr>
        <w:pStyle w:val="FootnoteText"/>
        <w:tabs>
          <w:tab w:val="left" w:pos="360"/>
        </w:tabs>
        <w:ind w:right="-360"/>
        <w:rPr>
          <w:rFonts w:ascii="Times New Roman" w:hAnsi="Times New Roman" w:cs="Times New Roman"/>
        </w:rPr>
      </w:pPr>
      <w:r w:rsidRPr="002F2A0C">
        <w:rPr>
          <w:rFonts w:ascii="Times New Roman" w:hAnsi="Times New Roman" w:cs="Times New Roman"/>
        </w:rPr>
        <w:t>It doesn’t even mention expanded plutonium pit production.</w:t>
      </w:r>
      <w:r w:rsidR="00835A9D" w:rsidRPr="002F2A0C">
        <w:rPr>
          <w:rFonts w:ascii="Times New Roman" w:hAnsi="Times New Roman" w:cs="Times New Roman"/>
        </w:rPr>
        <w:t xml:space="preserve"> </w:t>
      </w:r>
    </w:p>
  </w:footnote>
  <w:footnote w:id="2">
    <w:p w14:paraId="316ADD01" w14:textId="703CFD14" w:rsidR="00E56419" w:rsidRDefault="00E56419" w:rsidP="00C97325">
      <w:pPr>
        <w:pStyle w:val="FootnoteText"/>
        <w:tabs>
          <w:tab w:val="left" w:pos="360"/>
        </w:tabs>
        <w:ind w:right="-360"/>
      </w:pPr>
      <w:r>
        <w:rPr>
          <w:rStyle w:val="FootnoteReference"/>
        </w:rPr>
        <w:footnoteRef/>
      </w:r>
      <w:r>
        <w:t xml:space="preserve"> </w:t>
      </w:r>
      <w:r>
        <w:tab/>
      </w:r>
      <w:r w:rsidRPr="001D0DA8">
        <w:rPr>
          <w:i/>
          <w:iCs/>
        </w:rPr>
        <w:t>Amended Record of Decision for the Site-Wide Environmental Impact Statement for the Continued Operation of Los Alamos National Laboratory, Los Alamos, NM</w:t>
      </w:r>
      <w:r>
        <w:t xml:space="preserve">, NNSA, Sept. 2, 2020, </w:t>
      </w:r>
      <w:hyperlink r:id="rId2" w:history="1">
        <w:r w:rsidRPr="00E56419">
          <w:rPr>
            <w:rStyle w:val="Hyperlink"/>
          </w:rPr>
          <w:t>https://www.energy.gov/sites/default/files/2020/09/f78/amended-rod-eis-0380-LANL-SWEIS-2020-09-02.pdf</w:t>
        </w:r>
      </w:hyperlink>
    </w:p>
  </w:footnote>
  <w:footnote w:id="3">
    <w:p w14:paraId="1A08E9E1" w14:textId="1227EC74" w:rsidR="00766487" w:rsidRPr="00A45667" w:rsidRDefault="00891CA6" w:rsidP="00C97325">
      <w:pPr>
        <w:pStyle w:val="FootnoteText"/>
        <w:tabs>
          <w:tab w:val="left" w:pos="360"/>
        </w:tabs>
        <w:ind w:right="-360"/>
        <w:rPr>
          <w:rFonts w:ascii="Times New Roman" w:hAnsi="Times New Roman" w:cs="Times New Roman"/>
        </w:rPr>
      </w:pPr>
      <w:r w:rsidRPr="00A45667">
        <w:rPr>
          <w:rStyle w:val="FootnoteReference"/>
          <w:rFonts w:ascii="Times New Roman" w:hAnsi="Times New Roman" w:cs="Times New Roman"/>
        </w:rPr>
        <w:footnoteRef/>
      </w:r>
      <w:r w:rsidRPr="00A45667">
        <w:rPr>
          <w:rFonts w:ascii="Times New Roman" w:hAnsi="Times New Roman" w:cs="Times New Roman"/>
        </w:rPr>
        <w:t xml:space="preserve"> </w:t>
      </w:r>
      <w:r w:rsidRPr="00A45667">
        <w:rPr>
          <w:rFonts w:ascii="Times New Roman" w:hAnsi="Times New Roman" w:cs="Times New Roman"/>
        </w:rPr>
        <w:tab/>
        <w:t xml:space="preserve">See </w:t>
      </w:r>
      <w:r w:rsidR="00766487" w:rsidRPr="00A45667">
        <w:rPr>
          <w:rFonts w:ascii="Times New Roman" w:hAnsi="Times New Roman" w:cs="Times New Roman"/>
        </w:rPr>
        <w:t xml:space="preserve">Savannah River Site Watch, Tom Clements, The Gullah/Geechee Sea Island Coalition, Nuclear Watch New Mexico and Tri-Valley Communities Against A Radioactive Environment vs. NNSA at </w:t>
      </w:r>
      <w:hyperlink r:id="rId3" w:history="1">
        <w:r w:rsidR="00445C75" w:rsidRPr="00445C75">
          <w:rPr>
            <w:rStyle w:val="Hyperlink"/>
          </w:rPr>
          <w:t>https://uploads-ssl.webflow.com/5f2c352f324853b8b51c50db/60dc9b018b2e81089b39ebb7_Complaint%20as%20filed.pdf</w:t>
        </w:r>
      </w:hyperlink>
    </w:p>
    <w:p w14:paraId="727DC67E" w14:textId="77A63CC1" w:rsidR="00891CA6" w:rsidRDefault="00891CA6" w:rsidP="00891CA6">
      <w:pPr>
        <w:pStyle w:val="FootnoteText"/>
        <w:tabs>
          <w:tab w:val="left" w:pos="360"/>
        </w:tabs>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85B351" w14:textId="77777777" w:rsidR="00FE2A46" w:rsidRDefault="00FE2A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42F81E" w14:textId="77777777" w:rsidR="00FE2A46" w:rsidRDefault="00FE2A4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B4DC8E" w14:textId="77777777" w:rsidR="00FE2A46" w:rsidRDefault="00FE2A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A269D8"/>
    <w:multiLevelType w:val="hybridMultilevel"/>
    <w:tmpl w:val="A814A860"/>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9"/>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226"/>
    <w:rsid w:val="0001566C"/>
    <w:rsid w:val="00015855"/>
    <w:rsid w:val="000233D8"/>
    <w:rsid w:val="000259E5"/>
    <w:rsid w:val="000330A4"/>
    <w:rsid w:val="00041A55"/>
    <w:rsid w:val="000431FA"/>
    <w:rsid w:val="00043ACF"/>
    <w:rsid w:val="00057AE5"/>
    <w:rsid w:val="00062694"/>
    <w:rsid w:val="000A5332"/>
    <w:rsid w:val="000B43FE"/>
    <w:rsid w:val="000B53F4"/>
    <w:rsid w:val="000B5650"/>
    <w:rsid w:val="000C52C2"/>
    <w:rsid w:val="000E1C9E"/>
    <w:rsid w:val="00116F96"/>
    <w:rsid w:val="00141556"/>
    <w:rsid w:val="001433AA"/>
    <w:rsid w:val="00151A36"/>
    <w:rsid w:val="001526B4"/>
    <w:rsid w:val="0016397A"/>
    <w:rsid w:val="00181C48"/>
    <w:rsid w:val="001826B6"/>
    <w:rsid w:val="001A2057"/>
    <w:rsid w:val="001A4D8A"/>
    <w:rsid w:val="001A5E8A"/>
    <w:rsid w:val="001C207F"/>
    <w:rsid w:val="001D0DA8"/>
    <w:rsid w:val="001D5F0B"/>
    <w:rsid w:val="001F01C3"/>
    <w:rsid w:val="00202CE0"/>
    <w:rsid w:val="002057A9"/>
    <w:rsid w:val="00207C8E"/>
    <w:rsid w:val="00211C70"/>
    <w:rsid w:val="00222BD1"/>
    <w:rsid w:val="002329D4"/>
    <w:rsid w:val="0024127E"/>
    <w:rsid w:val="00272325"/>
    <w:rsid w:val="00277FBF"/>
    <w:rsid w:val="00281128"/>
    <w:rsid w:val="00286E3D"/>
    <w:rsid w:val="00292F87"/>
    <w:rsid w:val="002A015E"/>
    <w:rsid w:val="002D1B90"/>
    <w:rsid w:val="002E5B00"/>
    <w:rsid w:val="002F2064"/>
    <w:rsid w:val="002F2A0C"/>
    <w:rsid w:val="0030633B"/>
    <w:rsid w:val="003102B0"/>
    <w:rsid w:val="0031091D"/>
    <w:rsid w:val="003206F4"/>
    <w:rsid w:val="003330EF"/>
    <w:rsid w:val="003344B9"/>
    <w:rsid w:val="00335CA0"/>
    <w:rsid w:val="00336E22"/>
    <w:rsid w:val="00340F58"/>
    <w:rsid w:val="003644BF"/>
    <w:rsid w:val="0039336F"/>
    <w:rsid w:val="00397266"/>
    <w:rsid w:val="003C1162"/>
    <w:rsid w:val="003C2096"/>
    <w:rsid w:val="003C34C5"/>
    <w:rsid w:val="003D3C25"/>
    <w:rsid w:val="003D4084"/>
    <w:rsid w:val="003D57A7"/>
    <w:rsid w:val="003E14E0"/>
    <w:rsid w:val="003F5BA5"/>
    <w:rsid w:val="00401D4D"/>
    <w:rsid w:val="00417A9F"/>
    <w:rsid w:val="00445C75"/>
    <w:rsid w:val="00447A02"/>
    <w:rsid w:val="004519BB"/>
    <w:rsid w:val="004538CB"/>
    <w:rsid w:val="00462095"/>
    <w:rsid w:val="004723AB"/>
    <w:rsid w:val="00476321"/>
    <w:rsid w:val="004763EA"/>
    <w:rsid w:val="00477531"/>
    <w:rsid w:val="00480FE6"/>
    <w:rsid w:val="00481B34"/>
    <w:rsid w:val="00484DF1"/>
    <w:rsid w:val="00495CAF"/>
    <w:rsid w:val="004A4F59"/>
    <w:rsid w:val="004B0FD6"/>
    <w:rsid w:val="004B2C9F"/>
    <w:rsid w:val="004B632B"/>
    <w:rsid w:val="004C7FBF"/>
    <w:rsid w:val="004D55EB"/>
    <w:rsid w:val="004D7393"/>
    <w:rsid w:val="004E2A06"/>
    <w:rsid w:val="004F6B0F"/>
    <w:rsid w:val="005041CE"/>
    <w:rsid w:val="005112E2"/>
    <w:rsid w:val="0052024B"/>
    <w:rsid w:val="00521F9D"/>
    <w:rsid w:val="00545286"/>
    <w:rsid w:val="005509CC"/>
    <w:rsid w:val="00552AD0"/>
    <w:rsid w:val="005741E1"/>
    <w:rsid w:val="00574978"/>
    <w:rsid w:val="00577CF2"/>
    <w:rsid w:val="005820E6"/>
    <w:rsid w:val="005914D3"/>
    <w:rsid w:val="00593410"/>
    <w:rsid w:val="005A3E28"/>
    <w:rsid w:val="005B09B2"/>
    <w:rsid w:val="005C6713"/>
    <w:rsid w:val="005F1110"/>
    <w:rsid w:val="0061240F"/>
    <w:rsid w:val="00624D37"/>
    <w:rsid w:val="0062545D"/>
    <w:rsid w:val="00625C8B"/>
    <w:rsid w:val="006408DB"/>
    <w:rsid w:val="006529A1"/>
    <w:rsid w:val="006548D8"/>
    <w:rsid w:val="0065498F"/>
    <w:rsid w:val="006620AE"/>
    <w:rsid w:val="0069429E"/>
    <w:rsid w:val="006B62F9"/>
    <w:rsid w:val="006C2121"/>
    <w:rsid w:val="006C67CA"/>
    <w:rsid w:val="006D3D98"/>
    <w:rsid w:val="006D50AE"/>
    <w:rsid w:val="006E05B5"/>
    <w:rsid w:val="006E31CA"/>
    <w:rsid w:val="006F047A"/>
    <w:rsid w:val="00700BA6"/>
    <w:rsid w:val="007032F3"/>
    <w:rsid w:val="00703F91"/>
    <w:rsid w:val="0071340E"/>
    <w:rsid w:val="00721B01"/>
    <w:rsid w:val="00725BFD"/>
    <w:rsid w:val="00725E46"/>
    <w:rsid w:val="0073693D"/>
    <w:rsid w:val="00745477"/>
    <w:rsid w:val="00766487"/>
    <w:rsid w:val="00775782"/>
    <w:rsid w:val="0078145D"/>
    <w:rsid w:val="00782359"/>
    <w:rsid w:val="00786BF5"/>
    <w:rsid w:val="00791AC1"/>
    <w:rsid w:val="007979AB"/>
    <w:rsid w:val="007A11EC"/>
    <w:rsid w:val="007A69EE"/>
    <w:rsid w:val="007D2A4C"/>
    <w:rsid w:val="007E255A"/>
    <w:rsid w:val="007E5538"/>
    <w:rsid w:val="007F5755"/>
    <w:rsid w:val="007F6FAD"/>
    <w:rsid w:val="00816B08"/>
    <w:rsid w:val="00831368"/>
    <w:rsid w:val="00835A9D"/>
    <w:rsid w:val="00835DA9"/>
    <w:rsid w:val="008532D3"/>
    <w:rsid w:val="008561C7"/>
    <w:rsid w:val="0085764D"/>
    <w:rsid w:val="00870329"/>
    <w:rsid w:val="00880AE8"/>
    <w:rsid w:val="00883971"/>
    <w:rsid w:val="00891CA6"/>
    <w:rsid w:val="008925CE"/>
    <w:rsid w:val="0089509F"/>
    <w:rsid w:val="008B0B12"/>
    <w:rsid w:val="008B7FF4"/>
    <w:rsid w:val="008D31B3"/>
    <w:rsid w:val="008E54B6"/>
    <w:rsid w:val="0095163E"/>
    <w:rsid w:val="0095429A"/>
    <w:rsid w:val="00956F20"/>
    <w:rsid w:val="009666B8"/>
    <w:rsid w:val="0098094A"/>
    <w:rsid w:val="00981D69"/>
    <w:rsid w:val="009A3A39"/>
    <w:rsid w:val="009C1383"/>
    <w:rsid w:val="009C36F4"/>
    <w:rsid w:val="009C45EF"/>
    <w:rsid w:val="009F0A88"/>
    <w:rsid w:val="009F4B33"/>
    <w:rsid w:val="00A01AD1"/>
    <w:rsid w:val="00A0713D"/>
    <w:rsid w:val="00A151E5"/>
    <w:rsid w:val="00A247A9"/>
    <w:rsid w:val="00A44018"/>
    <w:rsid w:val="00A45667"/>
    <w:rsid w:val="00A4628C"/>
    <w:rsid w:val="00A57B32"/>
    <w:rsid w:val="00A60F1E"/>
    <w:rsid w:val="00A738B4"/>
    <w:rsid w:val="00A87577"/>
    <w:rsid w:val="00AA1959"/>
    <w:rsid w:val="00AB0F38"/>
    <w:rsid w:val="00AB152E"/>
    <w:rsid w:val="00AB4819"/>
    <w:rsid w:val="00AB5264"/>
    <w:rsid w:val="00AC46C0"/>
    <w:rsid w:val="00AD0B45"/>
    <w:rsid w:val="00AE3296"/>
    <w:rsid w:val="00B05DD6"/>
    <w:rsid w:val="00B1307B"/>
    <w:rsid w:val="00B168CE"/>
    <w:rsid w:val="00B239F7"/>
    <w:rsid w:val="00B273BE"/>
    <w:rsid w:val="00B417E1"/>
    <w:rsid w:val="00B54B05"/>
    <w:rsid w:val="00B60F18"/>
    <w:rsid w:val="00B67487"/>
    <w:rsid w:val="00B70040"/>
    <w:rsid w:val="00B712CD"/>
    <w:rsid w:val="00B90B87"/>
    <w:rsid w:val="00B97DDD"/>
    <w:rsid w:val="00BA4B5E"/>
    <w:rsid w:val="00BA4B78"/>
    <w:rsid w:val="00BA75A2"/>
    <w:rsid w:val="00BB44E8"/>
    <w:rsid w:val="00BC0389"/>
    <w:rsid w:val="00BC04B5"/>
    <w:rsid w:val="00BC5F41"/>
    <w:rsid w:val="00BD20F3"/>
    <w:rsid w:val="00BD4857"/>
    <w:rsid w:val="00BE1702"/>
    <w:rsid w:val="00BE5768"/>
    <w:rsid w:val="00BF0DCA"/>
    <w:rsid w:val="00BF697B"/>
    <w:rsid w:val="00C04062"/>
    <w:rsid w:val="00C4193D"/>
    <w:rsid w:val="00C51D3C"/>
    <w:rsid w:val="00C62B60"/>
    <w:rsid w:val="00C67C3E"/>
    <w:rsid w:val="00C70EAA"/>
    <w:rsid w:val="00C71B4A"/>
    <w:rsid w:val="00C97325"/>
    <w:rsid w:val="00CA46CF"/>
    <w:rsid w:val="00CA7EB8"/>
    <w:rsid w:val="00CB6880"/>
    <w:rsid w:val="00CE2400"/>
    <w:rsid w:val="00CF0027"/>
    <w:rsid w:val="00D01863"/>
    <w:rsid w:val="00D131F7"/>
    <w:rsid w:val="00D22E13"/>
    <w:rsid w:val="00D26EF3"/>
    <w:rsid w:val="00D36F4C"/>
    <w:rsid w:val="00D423CB"/>
    <w:rsid w:val="00D500DA"/>
    <w:rsid w:val="00D50532"/>
    <w:rsid w:val="00D50DC2"/>
    <w:rsid w:val="00D56868"/>
    <w:rsid w:val="00D62990"/>
    <w:rsid w:val="00D86979"/>
    <w:rsid w:val="00D9309E"/>
    <w:rsid w:val="00DA1172"/>
    <w:rsid w:val="00DB6F00"/>
    <w:rsid w:val="00DB79AA"/>
    <w:rsid w:val="00DD3F3C"/>
    <w:rsid w:val="00DE33B4"/>
    <w:rsid w:val="00DF577C"/>
    <w:rsid w:val="00DF5A46"/>
    <w:rsid w:val="00DF6DE6"/>
    <w:rsid w:val="00E061AC"/>
    <w:rsid w:val="00E14878"/>
    <w:rsid w:val="00E368FF"/>
    <w:rsid w:val="00E423C4"/>
    <w:rsid w:val="00E56419"/>
    <w:rsid w:val="00E75301"/>
    <w:rsid w:val="00E81621"/>
    <w:rsid w:val="00E82CA7"/>
    <w:rsid w:val="00EA0987"/>
    <w:rsid w:val="00EA5919"/>
    <w:rsid w:val="00EE2064"/>
    <w:rsid w:val="00EF7271"/>
    <w:rsid w:val="00F23226"/>
    <w:rsid w:val="00F274D2"/>
    <w:rsid w:val="00F34817"/>
    <w:rsid w:val="00F34F0D"/>
    <w:rsid w:val="00F4392A"/>
    <w:rsid w:val="00F73317"/>
    <w:rsid w:val="00F74239"/>
    <w:rsid w:val="00F771EB"/>
    <w:rsid w:val="00F801C2"/>
    <w:rsid w:val="00FA16F7"/>
    <w:rsid w:val="00FB13A2"/>
    <w:rsid w:val="00FB4A0A"/>
    <w:rsid w:val="00FE2A46"/>
    <w:rsid w:val="00FF003D"/>
    <w:rsid w:val="00FF2A68"/>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E2B044E"/>
  <w15:docId w15:val="{6E40C6A1-3983-4C4C-BF67-259CAB2D9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377">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5C5942"/>
  </w:style>
  <w:style w:type="paragraph" w:styleId="Heading1">
    <w:name w:val="heading 1"/>
    <w:basedOn w:val="Normal"/>
    <w:next w:val="Normal"/>
    <w:link w:val="Heading1Char"/>
    <w:rsid w:val="00835A9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5">
    <w:name w:val="heading 5"/>
    <w:basedOn w:val="Normal"/>
    <w:next w:val="Normal"/>
    <w:link w:val="Heading5Char"/>
    <w:rsid w:val="00782359"/>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link w:val="QuoteChar"/>
    <w:autoRedefine/>
    <w:uiPriority w:val="29"/>
    <w:qFormat/>
    <w:rsid w:val="008A7BCD"/>
    <w:pPr>
      <w:ind w:left="720" w:right="720"/>
    </w:pPr>
    <w:rPr>
      <w:rFonts w:ascii="Times New Roman" w:hAnsi="Times New Roman"/>
      <w:iCs/>
      <w:color w:val="000000" w:themeColor="text1"/>
      <w:sz w:val="20"/>
    </w:rPr>
  </w:style>
  <w:style w:type="character" w:customStyle="1" w:styleId="QuoteChar">
    <w:name w:val="Quote Char"/>
    <w:basedOn w:val="DefaultParagraphFont"/>
    <w:link w:val="Quote"/>
    <w:uiPriority w:val="29"/>
    <w:rsid w:val="008A7BCD"/>
    <w:rPr>
      <w:rFonts w:ascii="Times New Roman" w:hAnsi="Times New Roman"/>
      <w:iCs/>
      <w:color w:val="000000" w:themeColor="text1"/>
    </w:rPr>
  </w:style>
  <w:style w:type="character" w:styleId="Hyperlink">
    <w:name w:val="Hyperlink"/>
    <w:basedOn w:val="DefaultParagraphFont"/>
    <w:uiPriority w:val="99"/>
    <w:unhideWhenUsed/>
    <w:rsid w:val="00846E3D"/>
    <w:rPr>
      <w:color w:val="0000FF" w:themeColor="hyperlink"/>
      <w:u w:val="single"/>
    </w:rPr>
  </w:style>
  <w:style w:type="paragraph" w:styleId="Header">
    <w:name w:val="header"/>
    <w:basedOn w:val="Normal"/>
    <w:link w:val="HeaderChar"/>
    <w:uiPriority w:val="99"/>
    <w:unhideWhenUsed/>
    <w:rsid w:val="00AE25B8"/>
    <w:pPr>
      <w:tabs>
        <w:tab w:val="center" w:pos="4320"/>
        <w:tab w:val="right" w:pos="8640"/>
      </w:tabs>
    </w:pPr>
  </w:style>
  <w:style w:type="character" w:customStyle="1" w:styleId="HeaderChar">
    <w:name w:val="Header Char"/>
    <w:basedOn w:val="DefaultParagraphFont"/>
    <w:link w:val="Header"/>
    <w:uiPriority w:val="99"/>
    <w:rsid w:val="00AE25B8"/>
    <w:rPr>
      <w:sz w:val="24"/>
    </w:rPr>
  </w:style>
  <w:style w:type="paragraph" w:styleId="Footer">
    <w:name w:val="footer"/>
    <w:basedOn w:val="Normal"/>
    <w:link w:val="FooterChar"/>
    <w:unhideWhenUsed/>
    <w:rsid w:val="00AE25B8"/>
    <w:pPr>
      <w:tabs>
        <w:tab w:val="center" w:pos="4320"/>
        <w:tab w:val="right" w:pos="8640"/>
      </w:tabs>
    </w:pPr>
  </w:style>
  <w:style w:type="character" w:customStyle="1" w:styleId="FooterChar">
    <w:name w:val="Footer Char"/>
    <w:basedOn w:val="DefaultParagraphFont"/>
    <w:link w:val="Footer"/>
    <w:rsid w:val="00AE25B8"/>
    <w:rPr>
      <w:sz w:val="24"/>
    </w:rPr>
  </w:style>
  <w:style w:type="character" w:styleId="FollowedHyperlink">
    <w:name w:val="FollowedHyperlink"/>
    <w:basedOn w:val="DefaultParagraphFont"/>
    <w:uiPriority w:val="99"/>
    <w:semiHidden/>
    <w:unhideWhenUsed/>
    <w:rsid w:val="00C340D3"/>
    <w:rPr>
      <w:color w:val="800080" w:themeColor="followedHyperlink"/>
      <w:u w:val="single"/>
    </w:rPr>
  </w:style>
  <w:style w:type="paragraph" w:styleId="ListParagraph">
    <w:name w:val="List Paragraph"/>
    <w:basedOn w:val="Normal"/>
    <w:rsid w:val="005741E1"/>
    <w:pPr>
      <w:ind w:left="720"/>
      <w:contextualSpacing/>
    </w:pPr>
  </w:style>
  <w:style w:type="paragraph" w:styleId="BalloonText">
    <w:name w:val="Balloon Text"/>
    <w:basedOn w:val="Normal"/>
    <w:link w:val="BalloonTextChar"/>
    <w:semiHidden/>
    <w:unhideWhenUsed/>
    <w:rsid w:val="00775782"/>
    <w:rPr>
      <w:rFonts w:ascii="Times New Roman" w:hAnsi="Times New Roman" w:cs="Times New Roman"/>
      <w:sz w:val="18"/>
      <w:szCs w:val="18"/>
    </w:rPr>
  </w:style>
  <w:style w:type="character" w:customStyle="1" w:styleId="BalloonTextChar">
    <w:name w:val="Balloon Text Char"/>
    <w:basedOn w:val="DefaultParagraphFont"/>
    <w:link w:val="BalloonText"/>
    <w:semiHidden/>
    <w:rsid w:val="00775782"/>
    <w:rPr>
      <w:rFonts w:ascii="Times New Roman" w:hAnsi="Times New Roman" w:cs="Times New Roman"/>
      <w:sz w:val="18"/>
      <w:szCs w:val="18"/>
    </w:rPr>
  </w:style>
  <w:style w:type="character" w:styleId="UnresolvedMention">
    <w:name w:val="Unresolved Mention"/>
    <w:basedOn w:val="DefaultParagraphFont"/>
    <w:uiPriority w:val="99"/>
    <w:semiHidden/>
    <w:unhideWhenUsed/>
    <w:rsid w:val="009A3A39"/>
    <w:rPr>
      <w:color w:val="605E5C"/>
      <w:shd w:val="clear" w:color="auto" w:fill="E1DFDD"/>
    </w:rPr>
  </w:style>
  <w:style w:type="paragraph" w:styleId="FootnoteText">
    <w:name w:val="footnote text"/>
    <w:aliases w:val="Footnote Text Char1 Char,Footnote Text Char Char Char,Footnote Text Char1 Char Char Char,Footnote Text Char Char Char Char Char,Footnote Text Char1 Char Char Char Char Char"/>
    <w:basedOn w:val="Normal"/>
    <w:link w:val="FootnoteTextChar"/>
    <w:uiPriority w:val="99"/>
    <w:unhideWhenUsed/>
    <w:rsid w:val="007A11EC"/>
    <w:rPr>
      <w:sz w:val="20"/>
      <w:szCs w:val="20"/>
    </w:rPr>
  </w:style>
  <w:style w:type="character" w:customStyle="1" w:styleId="FootnoteTextChar">
    <w:name w:val="Footnote Text Char"/>
    <w:aliases w:val="Footnote Text Char1 Char Char,Footnote Text Char Char Char Char,Footnote Text Char1 Char Char Char Char,Footnote Text Char Char Char Char Char Char,Footnote Text Char1 Char Char Char Char Char Char"/>
    <w:basedOn w:val="DefaultParagraphFont"/>
    <w:link w:val="FootnoteText"/>
    <w:uiPriority w:val="99"/>
    <w:rsid w:val="007A11EC"/>
    <w:rPr>
      <w:sz w:val="20"/>
      <w:szCs w:val="20"/>
    </w:rPr>
  </w:style>
  <w:style w:type="character" w:styleId="FootnoteReference">
    <w:name w:val="footnote reference"/>
    <w:basedOn w:val="DefaultParagraphFont"/>
    <w:uiPriority w:val="99"/>
    <w:unhideWhenUsed/>
    <w:rsid w:val="007A11EC"/>
    <w:rPr>
      <w:vertAlign w:val="superscript"/>
    </w:rPr>
  </w:style>
  <w:style w:type="paragraph" w:customStyle="1" w:styleId="Default">
    <w:name w:val="Default"/>
    <w:rsid w:val="00EA0987"/>
    <w:pPr>
      <w:autoSpaceDE w:val="0"/>
      <w:autoSpaceDN w:val="0"/>
      <w:adjustRightInd w:val="0"/>
    </w:pPr>
    <w:rPr>
      <w:rFonts w:ascii="Calibri" w:hAnsi="Calibri" w:cs="Calibri"/>
      <w:color w:val="000000"/>
    </w:rPr>
  </w:style>
  <w:style w:type="paragraph" w:styleId="EndnoteText">
    <w:name w:val="endnote text"/>
    <w:basedOn w:val="Normal"/>
    <w:link w:val="EndnoteTextChar"/>
    <w:uiPriority w:val="99"/>
    <w:semiHidden/>
    <w:unhideWhenUsed/>
    <w:rsid w:val="00A01AD1"/>
    <w:rPr>
      <w:rFonts w:ascii="Times New Roman" w:eastAsia="Times New Roman" w:hAnsi="Times New Roman" w:cs="Times New Roman"/>
      <w:sz w:val="20"/>
      <w:szCs w:val="20"/>
      <w:lang w:eastAsia="en-US"/>
    </w:rPr>
  </w:style>
  <w:style w:type="character" w:customStyle="1" w:styleId="EndnoteTextChar">
    <w:name w:val="Endnote Text Char"/>
    <w:basedOn w:val="DefaultParagraphFont"/>
    <w:link w:val="EndnoteText"/>
    <w:uiPriority w:val="99"/>
    <w:semiHidden/>
    <w:rsid w:val="00A01AD1"/>
    <w:rPr>
      <w:rFonts w:ascii="Times New Roman" w:eastAsia="Times New Roman" w:hAnsi="Times New Roman" w:cs="Times New Roman"/>
      <w:sz w:val="20"/>
      <w:szCs w:val="20"/>
      <w:lang w:eastAsia="en-US"/>
    </w:rPr>
  </w:style>
  <w:style w:type="character" w:styleId="EndnoteReference">
    <w:name w:val="endnote reference"/>
    <w:basedOn w:val="DefaultParagraphFont"/>
    <w:uiPriority w:val="99"/>
    <w:semiHidden/>
    <w:unhideWhenUsed/>
    <w:rsid w:val="00A01AD1"/>
    <w:rPr>
      <w:vertAlign w:val="superscript"/>
    </w:rPr>
  </w:style>
  <w:style w:type="paragraph" w:styleId="Title">
    <w:name w:val="Title"/>
    <w:basedOn w:val="Normal"/>
    <w:next w:val="Normal"/>
    <w:link w:val="TitleChar"/>
    <w:uiPriority w:val="10"/>
    <w:qFormat/>
    <w:rsid w:val="00A01AD1"/>
    <w:pPr>
      <w:contextualSpacing/>
    </w:pPr>
    <w:rPr>
      <w:rFonts w:asciiTheme="majorHAnsi" w:eastAsiaTheme="majorEastAsia" w:hAnsiTheme="majorHAnsi" w:cstheme="majorBidi"/>
      <w:spacing w:val="-10"/>
      <w:kern w:val="28"/>
      <w:sz w:val="56"/>
      <w:szCs w:val="56"/>
      <w:lang w:eastAsia="en-US"/>
    </w:rPr>
  </w:style>
  <w:style w:type="character" w:customStyle="1" w:styleId="TitleChar">
    <w:name w:val="Title Char"/>
    <w:basedOn w:val="DefaultParagraphFont"/>
    <w:link w:val="Title"/>
    <w:uiPriority w:val="10"/>
    <w:rsid w:val="00A01AD1"/>
    <w:rPr>
      <w:rFonts w:asciiTheme="majorHAnsi" w:eastAsiaTheme="majorEastAsia" w:hAnsiTheme="majorHAnsi" w:cstheme="majorBidi"/>
      <w:spacing w:val="-10"/>
      <w:kern w:val="28"/>
      <w:sz w:val="56"/>
      <w:szCs w:val="56"/>
      <w:lang w:eastAsia="en-US"/>
    </w:rPr>
  </w:style>
  <w:style w:type="character" w:customStyle="1" w:styleId="markedcontent">
    <w:name w:val="markedcontent"/>
    <w:basedOn w:val="DefaultParagraphFont"/>
    <w:rsid w:val="00281128"/>
  </w:style>
  <w:style w:type="character" w:customStyle="1" w:styleId="FootnoteCharacters">
    <w:name w:val="Footnote Characters"/>
    <w:rsid w:val="00B70040"/>
  </w:style>
  <w:style w:type="character" w:customStyle="1" w:styleId="Footnoteanchor">
    <w:name w:val="Footnote anchor"/>
    <w:rsid w:val="00B70040"/>
    <w:rPr>
      <w:vertAlign w:val="superscript"/>
    </w:rPr>
  </w:style>
  <w:style w:type="paragraph" w:customStyle="1" w:styleId="Normal1">
    <w:name w:val="Normal1"/>
    <w:rsid w:val="00B70040"/>
    <w:pPr>
      <w:suppressAutoHyphens/>
      <w:spacing w:after="200" w:line="276" w:lineRule="auto"/>
    </w:pPr>
    <w:rPr>
      <w:rFonts w:ascii="Calibri" w:eastAsia="Calibri" w:hAnsi="Calibri" w:cs="Calibri"/>
      <w:color w:val="000000"/>
      <w:sz w:val="22"/>
      <w:szCs w:val="20"/>
      <w:lang w:eastAsia="en-US"/>
    </w:rPr>
  </w:style>
  <w:style w:type="paragraph" w:customStyle="1" w:styleId="FootnoteText1">
    <w:name w:val="Footnote Text1"/>
    <w:basedOn w:val="Normal"/>
    <w:rsid w:val="00B70040"/>
    <w:pPr>
      <w:suppressAutoHyphens/>
      <w:spacing w:line="100" w:lineRule="atLeast"/>
    </w:pPr>
    <w:rPr>
      <w:rFonts w:ascii="Calibri" w:eastAsia="SimSun" w:hAnsi="Calibri" w:cs="Calibri"/>
      <w:color w:val="000000"/>
      <w:sz w:val="20"/>
      <w:szCs w:val="20"/>
      <w:lang w:eastAsia="en-US"/>
    </w:rPr>
  </w:style>
  <w:style w:type="character" w:customStyle="1" w:styleId="FootnoteReference1">
    <w:name w:val="Footnote Reference1"/>
    <w:rsid w:val="00B70040"/>
    <w:rPr>
      <w:vertAlign w:val="superscript"/>
    </w:rPr>
  </w:style>
  <w:style w:type="character" w:customStyle="1" w:styleId="FooterChar1">
    <w:name w:val="Footer Char1"/>
    <w:basedOn w:val="DefaultParagraphFont"/>
    <w:rsid w:val="00B70040"/>
    <w:rPr>
      <w:rFonts w:eastAsia="SimSun"/>
      <w:color w:val="000000"/>
    </w:rPr>
  </w:style>
  <w:style w:type="character" w:styleId="PageNumber">
    <w:name w:val="page number"/>
    <w:uiPriority w:val="99"/>
    <w:semiHidden/>
    <w:unhideWhenUsed/>
    <w:rsid w:val="00B70040"/>
  </w:style>
  <w:style w:type="character" w:customStyle="1" w:styleId="Heading1Char">
    <w:name w:val="Heading 1 Char"/>
    <w:basedOn w:val="DefaultParagraphFont"/>
    <w:link w:val="Heading1"/>
    <w:rsid w:val="00835A9D"/>
    <w:rPr>
      <w:rFonts w:asciiTheme="majorHAnsi" w:eastAsiaTheme="majorEastAsia" w:hAnsiTheme="majorHAnsi" w:cstheme="majorBidi"/>
      <w:color w:val="365F91" w:themeColor="accent1" w:themeShade="BF"/>
      <w:sz w:val="32"/>
      <w:szCs w:val="32"/>
    </w:rPr>
  </w:style>
  <w:style w:type="character" w:customStyle="1" w:styleId="Heading5Char">
    <w:name w:val="Heading 5 Char"/>
    <w:basedOn w:val="DefaultParagraphFont"/>
    <w:link w:val="Heading5"/>
    <w:rsid w:val="00782359"/>
    <w:rPr>
      <w:rFonts w:asciiTheme="majorHAnsi" w:eastAsiaTheme="majorEastAsia" w:hAnsiTheme="majorHAnsi" w:cstheme="majorBidi"/>
      <w:color w:val="365F91" w:themeColor="accent1" w:themeShade="BF"/>
    </w:rPr>
  </w:style>
  <w:style w:type="paragraph" w:styleId="NormalWeb">
    <w:name w:val="Normal (Web)"/>
    <w:basedOn w:val="Normal"/>
    <w:uiPriority w:val="99"/>
    <w:semiHidden/>
    <w:unhideWhenUsed/>
    <w:rsid w:val="00782359"/>
    <w:pPr>
      <w:spacing w:before="100" w:beforeAutospacing="1" w:after="100" w:afterAutospacing="1"/>
    </w:pPr>
    <w:rPr>
      <w:rFonts w:ascii="Times New Roman" w:eastAsia="Times New Roman" w:hAnsi="Times New Roman" w:cs="Times New Roman"/>
      <w:lang w:eastAsia="en-US"/>
    </w:rPr>
  </w:style>
  <w:style w:type="character" w:styleId="Strong">
    <w:name w:val="Strong"/>
    <w:basedOn w:val="DefaultParagraphFont"/>
    <w:uiPriority w:val="22"/>
    <w:qFormat/>
    <w:rsid w:val="0078235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04493">
      <w:bodyDiv w:val="1"/>
      <w:marLeft w:val="0"/>
      <w:marRight w:val="0"/>
      <w:marTop w:val="0"/>
      <w:marBottom w:val="0"/>
      <w:divBdr>
        <w:top w:val="none" w:sz="0" w:space="0" w:color="auto"/>
        <w:left w:val="none" w:sz="0" w:space="0" w:color="auto"/>
        <w:bottom w:val="none" w:sz="0" w:space="0" w:color="auto"/>
        <w:right w:val="none" w:sz="0" w:space="0" w:color="auto"/>
      </w:divBdr>
    </w:div>
    <w:div w:id="146015410">
      <w:bodyDiv w:val="1"/>
      <w:marLeft w:val="0"/>
      <w:marRight w:val="0"/>
      <w:marTop w:val="0"/>
      <w:marBottom w:val="0"/>
      <w:divBdr>
        <w:top w:val="none" w:sz="0" w:space="0" w:color="auto"/>
        <w:left w:val="none" w:sz="0" w:space="0" w:color="auto"/>
        <w:bottom w:val="none" w:sz="0" w:space="0" w:color="auto"/>
        <w:right w:val="none" w:sz="0" w:space="0" w:color="auto"/>
      </w:divBdr>
    </w:div>
    <w:div w:id="154344546">
      <w:bodyDiv w:val="1"/>
      <w:marLeft w:val="0"/>
      <w:marRight w:val="0"/>
      <w:marTop w:val="0"/>
      <w:marBottom w:val="0"/>
      <w:divBdr>
        <w:top w:val="none" w:sz="0" w:space="0" w:color="auto"/>
        <w:left w:val="none" w:sz="0" w:space="0" w:color="auto"/>
        <w:bottom w:val="none" w:sz="0" w:space="0" w:color="auto"/>
        <w:right w:val="none" w:sz="0" w:space="0" w:color="auto"/>
      </w:divBdr>
    </w:div>
    <w:div w:id="235239760">
      <w:bodyDiv w:val="1"/>
      <w:marLeft w:val="0"/>
      <w:marRight w:val="0"/>
      <w:marTop w:val="0"/>
      <w:marBottom w:val="0"/>
      <w:divBdr>
        <w:top w:val="none" w:sz="0" w:space="0" w:color="auto"/>
        <w:left w:val="none" w:sz="0" w:space="0" w:color="auto"/>
        <w:bottom w:val="none" w:sz="0" w:space="0" w:color="auto"/>
        <w:right w:val="none" w:sz="0" w:space="0" w:color="auto"/>
      </w:divBdr>
    </w:div>
    <w:div w:id="317925784">
      <w:bodyDiv w:val="1"/>
      <w:marLeft w:val="0"/>
      <w:marRight w:val="0"/>
      <w:marTop w:val="0"/>
      <w:marBottom w:val="0"/>
      <w:divBdr>
        <w:top w:val="none" w:sz="0" w:space="0" w:color="auto"/>
        <w:left w:val="none" w:sz="0" w:space="0" w:color="auto"/>
        <w:bottom w:val="none" w:sz="0" w:space="0" w:color="auto"/>
        <w:right w:val="none" w:sz="0" w:space="0" w:color="auto"/>
      </w:divBdr>
      <w:divsChild>
        <w:div w:id="437604390">
          <w:marLeft w:val="0"/>
          <w:marRight w:val="0"/>
          <w:marTop w:val="0"/>
          <w:marBottom w:val="0"/>
          <w:divBdr>
            <w:top w:val="none" w:sz="0" w:space="0" w:color="auto"/>
            <w:left w:val="none" w:sz="0" w:space="0" w:color="auto"/>
            <w:bottom w:val="none" w:sz="0" w:space="0" w:color="auto"/>
            <w:right w:val="none" w:sz="0" w:space="0" w:color="auto"/>
          </w:divBdr>
        </w:div>
        <w:div w:id="1496845736">
          <w:marLeft w:val="0"/>
          <w:marRight w:val="0"/>
          <w:marTop w:val="0"/>
          <w:marBottom w:val="0"/>
          <w:divBdr>
            <w:top w:val="none" w:sz="0" w:space="0" w:color="auto"/>
            <w:left w:val="none" w:sz="0" w:space="0" w:color="auto"/>
            <w:bottom w:val="none" w:sz="0" w:space="0" w:color="auto"/>
            <w:right w:val="none" w:sz="0" w:space="0" w:color="auto"/>
          </w:divBdr>
        </w:div>
        <w:div w:id="1964994005">
          <w:marLeft w:val="0"/>
          <w:marRight w:val="0"/>
          <w:marTop w:val="0"/>
          <w:marBottom w:val="0"/>
          <w:divBdr>
            <w:top w:val="none" w:sz="0" w:space="0" w:color="auto"/>
            <w:left w:val="none" w:sz="0" w:space="0" w:color="auto"/>
            <w:bottom w:val="none" w:sz="0" w:space="0" w:color="auto"/>
            <w:right w:val="none" w:sz="0" w:space="0" w:color="auto"/>
          </w:divBdr>
        </w:div>
        <w:div w:id="596519008">
          <w:marLeft w:val="0"/>
          <w:marRight w:val="0"/>
          <w:marTop w:val="0"/>
          <w:marBottom w:val="0"/>
          <w:divBdr>
            <w:top w:val="none" w:sz="0" w:space="0" w:color="auto"/>
            <w:left w:val="none" w:sz="0" w:space="0" w:color="auto"/>
            <w:bottom w:val="none" w:sz="0" w:space="0" w:color="auto"/>
            <w:right w:val="none" w:sz="0" w:space="0" w:color="auto"/>
          </w:divBdr>
        </w:div>
        <w:div w:id="291863224">
          <w:marLeft w:val="0"/>
          <w:marRight w:val="0"/>
          <w:marTop w:val="0"/>
          <w:marBottom w:val="0"/>
          <w:divBdr>
            <w:top w:val="none" w:sz="0" w:space="0" w:color="auto"/>
            <w:left w:val="none" w:sz="0" w:space="0" w:color="auto"/>
            <w:bottom w:val="none" w:sz="0" w:space="0" w:color="auto"/>
            <w:right w:val="none" w:sz="0" w:space="0" w:color="auto"/>
          </w:divBdr>
        </w:div>
      </w:divsChild>
    </w:div>
    <w:div w:id="366220897">
      <w:bodyDiv w:val="1"/>
      <w:marLeft w:val="0"/>
      <w:marRight w:val="0"/>
      <w:marTop w:val="0"/>
      <w:marBottom w:val="0"/>
      <w:divBdr>
        <w:top w:val="none" w:sz="0" w:space="0" w:color="auto"/>
        <w:left w:val="none" w:sz="0" w:space="0" w:color="auto"/>
        <w:bottom w:val="none" w:sz="0" w:space="0" w:color="auto"/>
        <w:right w:val="none" w:sz="0" w:space="0" w:color="auto"/>
      </w:divBdr>
    </w:div>
    <w:div w:id="486556246">
      <w:bodyDiv w:val="1"/>
      <w:marLeft w:val="0"/>
      <w:marRight w:val="0"/>
      <w:marTop w:val="0"/>
      <w:marBottom w:val="0"/>
      <w:divBdr>
        <w:top w:val="none" w:sz="0" w:space="0" w:color="auto"/>
        <w:left w:val="none" w:sz="0" w:space="0" w:color="auto"/>
        <w:bottom w:val="none" w:sz="0" w:space="0" w:color="auto"/>
        <w:right w:val="none" w:sz="0" w:space="0" w:color="auto"/>
      </w:divBdr>
    </w:div>
    <w:div w:id="539636685">
      <w:bodyDiv w:val="1"/>
      <w:marLeft w:val="0"/>
      <w:marRight w:val="0"/>
      <w:marTop w:val="0"/>
      <w:marBottom w:val="0"/>
      <w:divBdr>
        <w:top w:val="none" w:sz="0" w:space="0" w:color="auto"/>
        <w:left w:val="none" w:sz="0" w:space="0" w:color="auto"/>
        <w:bottom w:val="none" w:sz="0" w:space="0" w:color="auto"/>
        <w:right w:val="none" w:sz="0" w:space="0" w:color="auto"/>
      </w:divBdr>
    </w:div>
    <w:div w:id="544754498">
      <w:bodyDiv w:val="1"/>
      <w:marLeft w:val="0"/>
      <w:marRight w:val="0"/>
      <w:marTop w:val="0"/>
      <w:marBottom w:val="0"/>
      <w:divBdr>
        <w:top w:val="none" w:sz="0" w:space="0" w:color="auto"/>
        <w:left w:val="none" w:sz="0" w:space="0" w:color="auto"/>
        <w:bottom w:val="none" w:sz="0" w:space="0" w:color="auto"/>
        <w:right w:val="none" w:sz="0" w:space="0" w:color="auto"/>
      </w:divBdr>
    </w:div>
    <w:div w:id="678314401">
      <w:bodyDiv w:val="1"/>
      <w:marLeft w:val="0"/>
      <w:marRight w:val="0"/>
      <w:marTop w:val="0"/>
      <w:marBottom w:val="0"/>
      <w:divBdr>
        <w:top w:val="none" w:sz="0" w:space="0" w:color="auto"/>
        <w:left w:val="none" w:sz="0" w:space="0" w:color="auto"/>
        <w:bottom w:val="none" w:sz="0" w:space="0" w:color="auto"/>
        <w:right w:val="none" w:sz="0" w:space="0" w:color="auto"/>
      </w:divBdr>
    </w:div>
    <w:div w:id="723717024">
      <w:bodyDiv w:val="1"/>
      <w:marLeft w:val="0"/>
      <w:marRight w:val="0"/>
      <w:marTop w:val="0"/>
      <w:marBottom w:val="0"/>
      <w:divBdr>
        <w:top w:val="none" w:sz="0" w:space="0" w:color="auto"/>
        <w:left w:val="none" w:sz="0" w:space="0" w:color="auto"/>
        <w:bottom w:val="none" w:sz="0" w:space="0" w:color="auto"/>
        <w:right w:val="none" w:sz="0" w:space="0" w:color="auto"/>
      </w:divBdr>
    </w:div>
    <w:div w:id="755173320">
      <w:bodyDiv w:val="1"/>
      <w:marLeft w:val="0"/>
      <w:marRight w:val="0"/>
      <w:marTop w:val="0"/>
      <w:marBottom w:val="0"/>
      <w:divBdr>
        <w:top w:val="none" w:sz="0" w:space="0" w:color="auto"/>
        <w:left w:val="none" w:sz="0" w:space="0" w:color="auto"/>
        <w:bottom w:val="none" w:sz="0" w:space="0" w:color="auto"/>
        <w:right w:val="none" w:sz="0" w:space="0" w:color="auto"/>
      </w:divBdr>
    </w:div>
    <w:div w:id="1006176002">
      <w:bodyDiv w:val="1"/>
      <w:marLeft w:val="0"/>
      <w:marRight w:val="0"/>
      <w:marTop w:val="0"/>
      <w:marBottom w:val="0"/>
      <w:divBdr>
        <w:top w:val="none" w:sz="0" w:space="0" w:color="auto"/>
        <w:left w:val="none" w:sz="0" w:space="0" w:color="auto"/>
        <w:bottom w:val="none" w:sz="0" w:space="0" w:color="auto"/>
        <w:right w:val="none" w:sz="0" w:space="0" w:color="auto"/>
      </w:divBdr>
    </w:div>
    <w:div w:id="1273586418">
      <w:bodyDiv w:val="1"/>
      <w:marLeft w:val="0"/>
      <w:marRight w:val="0"/>
      <w:marTop w:val="0"/>
      <w:marBottom w:val="0"/>
      <w:divBdr>
        <w:top w:val="none" w:sz="0" w:space="0" w:color="auto"/>
        <w:left w:val="none" w:sz="0" w:space="0" w:color="auto"/>
        <w:bottom w:val="none" w:sz="0" w:space="0" w:color="auto"/>
        <w:right w:val="none" w:sz="0" w:space="0" w:color="auto"/>
      </w:divBdr>
    </w:div>
    <w:div w:id="1284996561">
      <w:bodyDiv w:val="1"/>
      <w:marLeft w:val="0"/>
      <w:marRight w:val="0"/>
      <w:marTop w:val="0"/>
      <w:marBottom w:val="0"/>
      <w:divBdr>
        <w:top w:val="none" w:sz="0" w:space="0" w:color="auto"/>
        <w:left w:val="none" w:sz="0" w:space="0" w:color="auto"/>
        <w:bottom w:val="none" w:sz="0" w:space="0" w:color="auto"/>
        <w:right w:val="none" w:sz="0" w:space="0" w:color="auto"/>
      </w:divBdr>
    </w:div>
    <w:div w:id="1295067227">
      <w:bodyDiv w:val="1"/>
      <w:marLeft w:val="0"/>
      <w:marRight w:val="0"/>
      <w:marTop w:val="0"/>
      <w:marBottom w:val="0"/>
      <w:divBdr>
        <w:top w:val="none" w:sz="0" w:space="0" w:color="auto"/>
        <w:left w:val="none" w:sz="0" w:space="0" w:color="auto"/>
        <w:bottom w:val="none" w:sz="0" w:space="0" w:color="auto"/>
        <w:right w:val="none" w:sz="0" w:space="0" w:color="auto"/>
      </w:divBdr>
    </w:div>
    <w:div w:id="1521122004">
      <w:bodyDiv w:val="1"/>
      <w:marLeft w:val="0"/>
      <w:marRight w:val="0"/>
      <w:marTop w:val="0"/>
      <w:marBottom w:val="0"/>
      <w:divBdr>
        <w:top w:val="none" w:sz="0" w:space="0" w:color="auto"/>
        <w:left w:val="none" w:sz="0" w:space="0" w:color="auto"/>
        <w:bottom w:val="none" w:sz="0" w:space="0" w:color="auto"/>
        <w:right w:val="none" w:sz="0" w:space="0" w:color="auto"/>
      </w:divBdr>
    </w:div>
    <w:div w:id="1582444090">
      <w:bodyDiv w:val="1"/>
      <w:marLeft w:val="0"/>
      <w:marRight w:val="0"/>
      <w:marTop w:val="0"/>
      <w:marBottom w:val="0"/>
      <w:divBdr>
        <w:top w:val="none" w:sz="0" w:space="0" w:color="auto"/>
        <w:left w:val="none" w:sz="0" w:space="0" w:color="auto"/>
        <w:bottom w:val="none" w:sz="0" w:space="0" w:color="auto"/>
        <w:right w:val="none" w:sz="0" w:space="0" w:color="auto"/>
      </w:divBdr>
    </w:div>
    <w:div w:id="1618637511">
      <w:bodyDiv w:val="1"/>
      <w:marLeft w:val="0"/>
      <w:marRight w:val="0"/>
      <w:marTop w:val="0"/>
      <w:marBottom w:val="0"/>
      <w:divBdr>
        <w:top w:val="none" w:sz="0" w:space="0" w:color="auto"/>
        <w:left w:val="none" w:sz="0" w:space="0" w:color="auto"/>
        <w:bottom w:val="none" w:sz="0" w:space="0" w:color="auto"/>
        <w:right w:val="none" w:sz="0" w:space="0" w:color="auto"/>
      </w:divBdr>
    </w:div>
    <w:div w:id="1621491831">
      <w:bodyDiv w:val="1"/>
      <w:marLeft w:val="0"/>
      <w:marRight w:val="0"/>
      <w:marTop w:val="0"/>
      <w:marBottom w:val="0"/>
      <w:divBdr>
        <w:top w:val="none" w:sz="0" w:space="0" w:color="auto"/>
        <w:left w:val="none" w:sz="0" w:space="0" w:color="auto"/>
        <w:bottom w:val="none" w:sz="0" w:space="0" w:color="auto"/>
        <w:right w:val="none" w:sz="0" w:space="0" w:color="auto"/>
      </w:divBdr>
    </w:div>
    <w:div w:id="1746418653">
      <w:bodyDiv w:val="1"/>
      <w:marLeft w:val="0"/>
      <w:marRight w:val="0"/>
      <w:marTop w:val="0"/>
      <w:marBottom w:val="0"/>
      <w:divBdr>
        <w:top w:val="none" w:sz="0" w:space="0" w:color="auto"/>
        <w:left w:val="none" w:sz="0" w:space="0" w:color="auto"/>
        <w:bottom w:val="none" w:sz="0" w:space="0" w:color="auto"/>
        <w:right w:val="none" w:sz="0" w:space="0" w:color="auto"/>
      </w:divBdr>
    </w:div>
    <w:div w:id="1805612871">
      <w:bodyDiv w:val="1"/>
      <w:marLeft w:val="0"/>
      <w:marRight w:val="0"/>
      <w:marTop w:val="0"/>
      <w:marBottom w:val="0"/>
      <w:divBdr>
        <w:top w:val="none" w:sz="0" w:space="0" w:color="auto"/>
        <w:left w:val="none" w:sz="0" w:space="0" w:color="auto"/>
        <w:bottom w:val="none" w:sz="0" w:space="0" w:color="auto"/>
        <w:right w:val="none" w:sz="0" w:space="0" w:color="auto"/>
      </w:divBdr>
    </w:div>
    <w:div w:id="1812599779">
      <w:bodyDiv w:val="1"/>
      <w:marLeft w:val="0"/>
      <w:marRight w:val="0"/>
      <w:marTop w:val="0"/>
      <w:marBottom w:val="0"/>
      <w:divBdr>
        <w:top w:val="none" w:sz="0" w:space="0" w:color="auto"/>
        <w:left w:val="none" w:sz="0" w:space="0" w:color="auto"/>
        <w:bottom w:val="none" w:sz="0" w:space="0" w:color="auto"/>
        <w:right w:val="none" w:sz="0" w:space="0" w:color="auto"/>
      </w:divBdr>
    </w:div>
    <w:div w:id="1827281412">
      <w:bodyDiv w:val="1"/>
      <w:marLeft w:val="0"/>
      <w:marRight w:val="0"/>
      <w:marTop w:val="0"/>
      <w:marBottom w:val="0"/>
      <w:divBdr>
        <w:top w:val="none" w:sz="0" w:space="0" w:color="auto"/>
        <w:left w:val="none" w:sz="0" w:space="0" w:color="auto"/>
        <w:bottom w:val="none" w:sz="0" w:space="0" w:color="auto"/>
        <w:right w:val="none" w:sz="0" w:space="0" w:color="auto"/>
      </w:divBdr>
    </w:div>
    <w:div w:id="1977563496">
      <w:bodyDiv w:val="1"/>
      <w:marLeft w:val="0"/>
      <w:marRight w:val="0"/>
      <w:marTop w:val="0"/>
      <w:marBottom w:val="0"/>
      <w:divBdr>
        <w:top w:val="none" w:sz="0" w:space="0" w:color="auto"/>
        <w:left w:val="none" w:sz="0" w:space="0" w:color="auto"/>
        <w:bottom w:val="none" w:sz="0" w:space="0" w:color="auto"/>
        <w:right w:val="none" w:sz="0" w:space="0" w:color="auto"/>
      </w:divBdr>
    </w:div>
    <w:div w:id="2063208455">
      <w:bodyDiv w:val="1"/>
      <w:marLeft w:val="0"/>
      <w:marRight w:val="0"/>
      <w:marTop w:val="0"/>
      <w:marBottom w:val="0"/>
      <w:divBdr>
        <w:top w:val="none" w:sz="0" w:space="0" w:color="auto"/>
        <w:left w:val="none" w:sz="0" w:space="0" w:color="auto"/>
        <w:bottom w:val="none" w:sz="0" w:space="0" w:color="auto"/>
        <w:right w:val="none" w:sz="0" w:space="0" w:color="auto"/>
      </w:divBdr>
    </w:div>
    <w:div w:id="2091728673">
      <w:bodyDiv w:val="1"/>
      <w:marLeft w:val="0"/>
      <w:marRight w:val="0"/>
      <w:marTop w:val="0"/>
      <w:marBottom w:val="0"/>
      <w:divBdr>
        <w:top w:val="none" w:sz="0" w:space="0" w:color="auto"/>
        <w:left w:val="none" w:sz="0" w:space="0" w:color="auto"/>
        <w:bottom w:val="none" w:sz="0" w:space="0" w:color="auto"/>
        <w:right w:val="none" w:sz="0" w:space="0" w:color="auto"/>
      </w:divBdr>
    </w:div>
    <w:div w:id="209951896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uploads-ssl.webflow.com/5f2c352f324853b8b51c50db/60dc9b018b2e81089b39ebb7_Complaint%20as%20filed.pdf" TargetMode="External"/><Relationship Id="rId2" Type="http://schemas.openxmlformats.org/officeDocument/2006/relationships/hyperlink" Target="https://www.energy.gov/sites/default/files/2020/09/f78/amended-rod-eis-0380-LANL-SWEIS-2020-09-02.pdf" TargetMode="External"/><Relationship Id="rId1" Type="http://schemas.openxmlformats.org/officeDocument/2006/relationships/hyperlink" Target="https://www.federalregister.gov/documents/2022/08/19/2022-17901/notice-of-intent-to-prepare-a-site-wide-environmental-impact-statement-for-continued-operation-o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4</Pages>
  <Words>1726</Words>
  <Characters>9843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Coghlan User</dc:creator>
  <cp:keywords/>
  <dc:description/>
  <cp:lastModifiedBy>Jay  Coghlan</cp:lastModifiedBy>
  <cp:revision>49</cp:revision>
  <cp:lastPrinted>2018-10-22T21:05:00Z</cp:lastPrinted>
  <dcterms:created xsi:type="dcterms:W3CDTF">2022-10-07T22:00:00Z</dcterms:created>
  <dcterms:modified xsi:type="dcterms:W3CDTF">2022-10-11T16:33:00Z</dcterms:modified>
</cp:coreProperties>
</file>